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6644">
      <w:pPr>
        <w:adjustRightInd w:val="0"/>
        <w:snapToGrid w:val="0"/>
        <w:spacing w:beforeLines="20" w:afterLines="20"/>
        <w:jc w:val="center"/>
        <w:rPr>
          <w:rFonts w:ascii="宋体" w:hAnsi="宋体" w:cs="宋体"/>
          <w:b/>
          <w:color w:val="auto"/>
          <w:sz w:val="36"/>
          <w:szCs w:val="36"/>
          <w:highlight w:val="none"/>
        </w:rPr>
      </w:pPr>
    </w:p>
    <w:p w14:paraId="3156FBFB">
      <w:pPr>
        <w:adjustRightInd w:val="0"/>
        <w:snapToGrid w:val="0"/>
        <w:spacing w:beforeLines="20" w:afterLines="20"/>
        <w:jc w:val="center"/>
        <w:rPr>
          <w:rFonts w:hint="eastAsia" w:ascii="宋体" w:hAnsi="宋体" w:cs="宋体"/>
          <w:b/>
          <w:color w:val="auto"/>
          <w:sz w:val="52"/>
          <w:szCs w:val="52"/>
          <w:highlight w:val="none"/>
          <w:lang w:eastAsia="zh-CN"/>
        </w:rPr>
      </w:pPr>
    </w:p>
    <w:p w14:paraId="19A86470">
      <w:pPr>
        <w:adjustRightInd w:val="0"/>
        <w:snapToGrid w:val="0"/>
        <w:spacing w:beforeLines="20" w:afterLines="20"/>
        <w:jc w:val="center"/>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水木冲尾矿库闭库销号工程监理</w:t>
      </w:r>
    </w:p>
    <w:p w14:paraId="40ECFD51">
      <w:pPr>
        <w:pStyle w:val="12"/>
        <w:outlineLvl w:val="0"/>
        <w:rPr>
          <w:rFonts w:hAnsi="宋体" w:cs="宋体"/>
          <w:b/>
          <w:color w:val="auto"/>
          <w:sz w:val="72"/>
          <w:highlight w:val="none"/>
        </w:rPr>
      </w:pPr>
    </w:p>
    <w:p w14:paraId="7AB14D81">
      <w:pPr>
        <w:pStyle w:val="12"/>
        <w:jc w:val="center"/>
        <w:outlineLvl w:val="0"/>
        <w:rPr>
          <w:rFonts w:hAnsi="宋体" w:cs="宋体"/>
          <w:b/>
          <w:color w:val="auto"/>
          <w:sz w:val="32"/>
          <w:highlight w:val="none"/>
        </w:rPr>
      </w:pPr>
      <w:r>
        <w:rPr>
          <w:rFonts w:hint="eastAsia" w:hAnsi="宋体" w:cs="宋体"/>
          <w:b/>
          <w:color w:val="auto"/>
          <w:sz w:val="96"/>
          <w:szCs w:val="21"/>
          <w:highlight w:val="none"/>
        </w:rPr>
        <w:t>招 标 文 件</w:t>
      </w:r>
    </w:p>
    <w:p w14:paraId="5B8CEABD">
      <w:pPr>
        <w:pStyle w:val="12"/>
        <w:ind w:firstLine="3450" w:firstLineChars="1917"/>
        <w:outlineLvl w:val="0"/>
        <w:rPr>
          <w:rFonts w:hAnsi="宋体" w:cs="宋体"/>
          <w:b/>
          <w:color w:val="auto"/>
          <w:sz w:val="18"/>
          <w:szCs w:val="18"/>
          <w:highlight w:val="none"/>
          <w:u w:val="single"/>
        </w:rPr>
      </w:pPr>
    </w:p>
    <w:p w14:paraId="60F2EA75">
      <w:pPr>
        <w:pStyle w:val="12"/>
        <w:ind w:firstLine="3450" w:firstLineChars="1917"/>
        <w:outlineLvl w:val="0"/>
        <w:rPr>
          <w:rFonts w:hAnsi="宋体" w:cs="宋体"/>
          <w:b/>
          <w:color w:val="auto"/>
          <w:sz w:val="18"/>
          <w:szCs w:val="18"/>
          <w:highlight w:val="none"/>
          <w:u w:val="single"/>
        </w:rPr>
      </w:pPr>
    </w:p>
    <w:p w14:paraId="3E343DCE">
      <w:pPr>
        <w:widowControl/>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招标编号：</w:t>
      </w:r>
      <w:r>
        <w:rPr>
          <w:rFonts w:hint="eastAsia" w:ascii="宋体" w:hAnsi="宋体" w:cs="宋体"/>
          <w:b/>
          <w:bCs/>
          <w:color w:val="auto"/>
          <w:sz w:val="30"/>
          <w:szCs w:val="30"/>
          <w:highlight w:val="none"/>
          <w:lang w:eastAsia="zh-CN"/>
        </w:rPr>
        <w:t>TSZB2026021</w:t>
      </w:r>
    </w:p>
    <w:p w14:paraId="203069DF">
      <w:pPr>
        <w:pStyle w:val="12"/>
        <w:jc w:val="center"/>
        <w:outlineLvl w:val="0"/>
        <w:rPr>
          <w:rFonts w:hAnsi="宋体" w:cs="宋体"/>
          <w:b/>
          <w:color w:val="auto"/>
          <w:sz w:val="18"/>
          <w:szCs w:val="18"/>
          <w:highlight w:val="none"/>
          <w:u w:val="single"/>
        </w:rPr>
      </w:pPr>
    </w:p>
    <w:p w14:paraId="6CC70DE3">
      <w:pPr>
        <w:pStyle w:val="12"/>
        <w:ind w:firstLine="2469" w:firstLineChars="1029"/>
        <w:outlineLvl w:val="0"/>
        <w:rPr>
          <w:rFonts w:hAnsi="宋体" w:cs="宋体"/>
          <w:b/>
          <w:color w:val="auto"/>
          <w:sz w:val="24"/>
          <w:szCs w:val="24"/>
          <w:highlight w:val="none"/>
        </w:rPr>
      </w:pPr>
    </w:p>
    <w:p w14:paraId="28BE0835">
      <w:pPr>
        <w:pStyle w:val="12"/>
        <w:ind w:firstLine="2469" w:firstLineChars="1029"/>
        <w:outlineLvl w:val="0"/>
        <w:rPr>
          <w:rFonts w:hAnsi="宋体" w:cs="宋体"/>
          <w:b/>
          <w:color w:val="auto"/>
          <w:sz w:val="24"/>
          <w:szCs w:val="24"/>
          <w:highlight w:val="none"/>
        </w:rPr>
      </w:pPr>
    </w:p>
    <w:p w14:paraId="30B275A0">
      <w:pPr>
        <w:pStyle w:val="12"/>
        <w:outlineLvl w:val="0"/>
        <w:rPr>
          <w:rFonts w:hAnsi="宋体" w:cs="宋体"/>
          <w:b/>
          <w:color w:val="auto"/>
          <w:sz w:val="24"/>
          <w:szCs w:val="24"/>
          <w:highlight w:val="none"/>
        </w:rPr>
      </w:pPr>
    </w:p>
    <w:p w14:paraId="4D56AA2B">
      <w:pPr>
        <w:pStyle w:val="12"/>
        <w:ind w:firstLine="2469" w:firstLineChars="1029"/>
        <w:outlineLvl w:val="0"/>
        <w:rPr>
          <w:rFonts w:hAnsi="宋体" w:cs="宋体"/>
          <w:b/>
          <w:color w:val="auto"/>
          <w:sz w:val="24"/>
          <w:szCs w:val="24"/>
          <w:highlight w:val="none"/>
        </w:rPr>
      </w:pPr>
    </w:p>
    <w:p w14:paraId="407389A4">
      <w:pPr>
        <w:pStyle w:val="12"/>
        <w:ind w:firstLine="2469" w:firstLineChars="1029"/>
        <w:outlineLvl w:val="0"/>
        <w:rPr>
          <w:rFonts w:hAnsi="宋体" w:cs="宋体"/>
          <w:b/>
          <w:color w:val="auto"/>
          <w:sz w:val="24"/>
          <w:szCs w:val="24"/>
          <w:highlight w:val="none"/>
        </w:rPr>
      </w:pPr>
    </w:p>
    <w:p w14:paraId="03DE1CD7">
      <w:pPr>
        <w:pStyle w:val="12"/>
        <w:ind w:firstLine="2469" w:firstLineChars="1029"/>
        <w:outlineLvl w:val="0"/>
        <w:rPr>
          <w:rFonts w:hAnsi="宋体" w:cs="宋体"/>
          <w:b/>
          <w:color w:val="auto"/>
          <w:sz w:val="24"/>
          <w:szCs w:val="24"/>
          <w:highlight w:val="none"/>
        </w:rPr>
      </w:pPr>
    </w:p>
    <w:p w14:paraId="4B3117B4">
      <w:pPr>
        <w:pStyle w:val="12"/>
        <w:ind w:firstLine="2469" w:firstLineChars="1029"/>
        <w:outlineLvl w:val="0"/>
        <w:rPr>
          <w:rFonts w:hAnsi="宋体" w:cs="宋体"/>
          <w:b/>
          <w:color w:val="auto"/>
          <w:sz w:val="24"/>
          <w:szCs w:val="24"/>
          <w:highlight w:val="none"/>
        </w:rPr>
      </w:pPr>
    </w:p>
    <w:p w14:paraId="5A0CBC07">
      <w:pPr>
        <w:pStyle w:val="12"/>
        <w:ind w:firstLine="2469" w:firstLineChars="1029"/>
        <w:outlineLvl w:val="0"/>
        <w:rPr>
          <w:rFonts w:hAnsi="宋体" w:cs="宋体"/>
          <w:b/>
          <w:color w:val="auto"/>
          <w:sz w:val="24"/>
          <w:szCs w:val="24"/>
          <w:highlight w:val="none"/>
        </w:rPr>
      </w:pPr>
    </w:p>
    <w:p w14:paraId="7174D0E6">
      <w:pPr>
        <w:pStyle w:val="12"/>
        <w:ind w:firstLine="2469" w:firstLineChars="1029"/>
        <w:outlineLvl w:val="0"/>
        <w:rPr>
          <w:rFonts w:hAnsi="宋体" w:cs="宋体"/>
          <w:b/>
          <w:color w:val="auto"/>
          <w:sz w:val="24"/>
          <w:szCs w:val="24"/>
          <w:highlight w:val="none"/>
        </w:rPr>
      </w:pPr>
    </w:p>
    <w:p w14:paraId="0FC941B8">
      <w:pPr>
        <w:pStyle w:val="12"/>
        <w:ind w:firstLine="2469" w:firstLineChars="1029"/>
        <w:outlineLvl w:val="0"/>
        <w:rPr>
          <w:rFonts w:hAnsi="宋体" w:cs="宋体"/>
          <w:b/>
          <w:color w:val="auto"/>
          <w:sz w:val="24"/>
          <w:szCs w:val="24"/>
          <w:highlight w:val="none"/>
        </w:rPr>
      </w:pPr>
    </w:p>
    <w:p w14:paraId="36582BAF">
      <w:pPr>
        <w:pStyle w:val="12"/>
        <w:ind w:firstLine="2469" w:firstLineChars="1029"/>
        <w:outlineLvl w:val="0"/>
        <w:rPr>
          <w:rFonts w:hAnsi="宋体" w:cs="宋体"/>
          <w:b/>
          <w:color w:val="auto"/>
          <w:sz w:val="24"/>
          <w:szCs w:val="24"/>
          <w:highlight w:val="none"/>
        </w:rPr>
      </w:pPr>
    </w:p>
    <w:p w14:paraId="1B4B4197">
      <w:pPr>
        <w:pStyle w:val="12"/>
        <w:ind w:firstLine="2469" w:firstLineChars="1029"/>
        <w:outlineLvl w:val="0"/>
        <w:rPr>
          <w:rFonts w:hAnsi="宋体" w:cs="宋体"/>
          <w:b/>
          <w:color w:val="auto"/>
          <w:sz w:val="24"/>
          <w:szCs w:val="24"/>
          <w:highlight w:val="none"/>
        </w:rPr>
      </w:pPr>
    </w:p>
    <w:p w14:paraId="3A9566D9">
      <w:pPr>
        <w:pStyle w:val="12"/>
        <w:ind w:firstLine="2469" w:firstLineChars="1029"/>
        <w:outlineLvl w:val="0"/>
        <w:rPr>
          <w:rFonts w:hAnsi="宋体" w:cs="宋体"/>
          <w:b/>
          <w:color w:val="auto"/>
          <w:sz w:val="24"/>
          <w:szCs w:val="24"/>
          <w:highlight w:val="none"/>
        </w:rPr>
      </w:pPr>
    </w:p>
    <w:p w14:paraId="1FB969B7">
      <w:pPr>
        <w:pStyle w:val="12"/>
        <w:ind w:firstLine="2469" w:firstLineChars="1029"/>
        <w:outlineLvl w:val="0"/>
        <w:rPr>
          <w:rFonts w:hAnsi="宋体" w:cs="宋体"/>
          <w:b/>
          <w:color w:val="auto"/>
          <w:sz w:val="24"/>
          <w:szCs w:val="24"/>
          <w:highlight w:val="none"/>
        </w:rPr>
      </w:pPr>
    </w:p>
    <w:p w14:paraId="47045892">
      <w:pPr>
        <w:pStyle w:val="12"/>
        <w:ind w:firstLine="2469" w:firstLineChars="1029"/>
        <w:outlineLvl w:val="0"/>
        <w:rPr>
          <w:rFonts w:hAnsi="宋体" w:cs="宋体"/>
          <w:b/>
          <w:color w:val="auto"/>
          <w:sz w:val="24"/>
          <w:szCs w:val="24"/>
          <w:highlight w:val="none"/>
        </w:rPr>
      </w:pPr>
    </w:p>
    <w:p w14:paraId="1500E022">
      <w:pPr>
        <w:pStyle w:val="12"/>
        <w:outlineLvl w:val="0"/>
        <w:rPr>
          <w:rFonts w:hAnsi="宋体" w:cs="宋体"/>
          <w:b/>
          <w:color w:val="auto"/>
          <w:highlight w:val="none"/>
        </w:rPr>
      </w:pPr>
    </w:p>
    <w:p w14:paraId="1B910AFD">
      <w:pPr>
        <w:adjustRightInd w:val="0"/>
        <w:spacing w:beforeLines="20" w:afterLines="20" w:line="360" w:lineRule="auto"/>
        <w:ind w:firstLine="1264" w:firstLineChars="395"/>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招标单位：</w:t>
      </w:r>
      <w:r>
        <w:rPr>
          <w:rFonts w:hint="eastAsia" w:ascii="宋体" w:hAnsi="宋体"/>
          <w:b/>
          <w:bCs/>
          <w:color w:val="auto"/>
          <w:sz w:val="32"/>
          <w:szCs w:val="32"/>
          <w:highlight w:val="none"/>
          <w:lang w:eastAsia="zh-CN"/>
        </w:rPr>
        <w:t>安徽奋迅实业有限公司</w:t>
      </w:r>
    </w:p>
    <w:p w14:paraId="5755283C">
      <w:pPr>
        <w:adjustRightInd w:val="0"/>
        <w:spacing w:beforeLines="20" w:afterLines="20" w:line="360" w:lineRule="auto"/>
        <w:ind w:firstLine="1264" w:firstLineChars="395"/>
        <w:jc w:val="center"/>
        <w:rPr>
          <w:rFonts w:ascii="宋体" w:hAnsi="宋体"/>
          <w:b/>
          <w:bCs/>
          <w:color w:val="auto"/>
          <w:sz w:val="32"/>
          <w:szCs w:val="32"/>
          <w:highlight w:val="none"/>
        </w:rPr>
      </w:pPr>
      <w:r>
        <w:rPr>
          <w:rFonts w:hint="eastAsia" w:ascii="宋体" w:hAnsi="宋体"/>
          <w:b/>
          <w:bCs/>
          <w:color w:val="auto"/>
          <w:sz w:val="32"/>
          <w:szCs w:val="32"/>
          <w:highlight w:val="none"/>
        </w:rPr>
        <w:t>招标代理机构：安徽同升工程管理咨询有限责任公司</w:t>
      </w:r>
    </w:p>
    <w:p w14:paraId="0E1EA0BD">
      <w:pPr>
        <w:adjustRightInd w:val="0"/>
        <w:spacing w:beforeLines="20" w:afterLines="20" w:line="360" w:lineRule="auto"/>
        <w:ind w:firstLine="1264" w:firstLineChars="395"/>
        <w:rPr>
          <w:rFonts w:ascii="宋体" w:hAnsi="宋体"/>
          <w:b/>
          <w:bCs/>
          <w:color w:val="auto"/>
          <w:sz w:val="32"/>
          <w:szCs w:val="32"/>
          <w:highlight w:val="none"/>
          <w:u w:val="single"/>
        </w:rPr>
      </w:pPr>
    </w:p>
    <w:p w14:paraId="69819FF9">
      <w:pPr>
        <w:pStyle w:val="12"/>
        <w:spacing w:line="360" w:lineRule="auto"/>
        <w:jc w:val="center"/>
        <w:rPr>
          <w:rFonts w:hAnsi="宋体" w:cs="宋体"/>
          <w:b/>
          <w:bCs/>
          <w:color w:val="auto"/>
          <w:sz w:val="28"/>
          <w:szCs w:val="28"/>
          <w:highlight w:val="none"/>
        </w:rPr>
      </w:pPr>
      <w:r>
        <w:rPr>
          <w:rFonts w:hint="eastAsia" w:hAnsi="宋体" w:cs="宋体"/>
          <w:b/>
          <w:bCs/>
          <w:color w:val="auto"/>
          <w:sz w:val="28"/>
          <w:szCs w:val="28"/>
          <w:highlight w:val="none"/>
          <w:lang w:eastAsia="zh-CN"/>
        </w:rPr>
        <w:t>202</w:t>
      </w:r>
      <w:r>
        <w:rPr>
          <w:rFonts w:hint="eastAsia" w:hAnsi="宋体" w:cs="宋体"/>
          <w:b/>
          <w:bCs/>
          <w:color w:val="auto"/>
          <w:sz w:val="28"/>
          <w:szCs w:val="28"/>
          <w:highlight w:val="none"/>
          <w:lang w:val="en-US" w:eastAsia="zh-CN"/>
        </w:rPr>
        <w:t>6</w:t>
      </w:r>
      <w:r>
        <w:rPr>
          <w:rFonts w:hint="eastAsia" w:hAnsi="宋体" w:cs="宋体"/>
          <w:b/>
          <w:bCs/>
          <w:color w:val="auto"/>
          <w:sz w:val="28"/>
          <w:szCs w:val="28"/>
          <w:highlight w:val="none"/>
        </w:rPr>
        <w:t>年</w:t>
      </w:r>
      <w:r>
        <w:rPr>
          <w:rFonts w:hint="eastAsia" w:hAnsi="宋体" w:cs="宋体"/>
          <w:b/>
          <w:bCs/>
          <w:color w:val="auto"/>
          <w:sz w:val="28"/>
          <w:szCs w:val="28"/>
          <w:highlight w:val="none"/>
          <w:lang w:val="en-US" w:eastAsia="zh-CN"/>
        </w:rPr>
        <w:t>02</w:t>
      </w:r>
      <w:r>
        <w:rPr>
          <w:rFonts w:hint="eastAsia" w:hAnsi="宋体" w:cs="宋体"/>
          <w:b/>
          <w:bCs/>
          <w:color w:val="auto"/>
          <w:sz w:val="28"/>
          <w:szCs w:val="28"/>
          <w:highlight w:val="none"/>
        </w:rPr>
        <w:t>月</w:t>
      </w:r>
    </w:p>
    <w:p w14:paraId="564DBE17">
      <w:pPr>
        <w:pStyle w:val="12"/>
        <w:spacing w:line="360" w:lineRule="auto"/>
        <w:jc w:val="center"/>
        <w:rPr>
          <w:rFonts w:hAnsi="宋体" w:cs="宋体"/>
          <w:b/>
          <w:bCs/>
          <w:color w:val="auto"/>
          <w:sz w:val="28"/>
          <w:szCs w:val="28"/>
          <w:highlight w:val="none"/>
        </w:rPr>
      </w:pPr>
    </w:p>
    <w:p w14:paraId="3788C79F">
      <w:pPr>
        <w:spacing w:line="360" w:lineRule="auto"/>
        <w:jc w:val="center"/>
        <w:rPr>
          <w:rFonts w:hint="eastAsia" w:ascii="宋体" w:hAnsi="宋体" w:eastAsia="宋体"/>
          <w:b/>
          <w:color w:val="auto"/>
          <w:sz w:val="32"/>
          <w:szCs w:val="32"/>
          <w:highlight w:val="none"/>
          <w:lang w:eastAsia="zh-CN"/>
        </w:rPr>
      </w:pPr>
      <w:bookmarkStart w:id="0" w:name="_Hlk45874549"/>
      <w:r>
        <w:rPr>
          <w:rFonts w:hint="eastAsia" w:ascii="宋体" w:hAnsi="宋体"/>
          <w:b/>
          <w:color w:val="auto"/>
          <w:sz w:val="32"/>
          <w:szCs w:val="32"/>
          <w:highlight w:val="none"/>
          <w:lang w:eastAsia="zh-CN"/>
        </w:rPr>
        <w:t>水木冲尾矿库闭库销号工程监理</w:t>
      </w:r>
    </w:p>
    <w:p w14:paraId="0D8AE55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招标公告</w:t>
      </w:r>
    </w:p>
    <w:p w14:paraId="7598D943">
      <w:pPr>
        <w:spacing w:line="460" w:lineRule="exact"/>
        <w:ind w:firstLine="420" w:firstLineChars="200"/>
        <w:rPr>
          <w:rFonts w:ascii="宋体" w:hAnsi="宋体"/>
          <w:color w:val="auto"/>
          <w:szCs w:val="21"/>
          <w:highlight w:val="none"/>
        </w:rPr>
      </w:pPr>
    </w:p>
    <w:p w14:paraId="343724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1" w:name="_Toc12008"/>
      <w:bookmarkStart w:id="2" w:name="OLE_LINK1"/>
      <w:r>
        <w:rPr>
          <w:rFonts w:hint="eastAsia" w:ascii="宋体" w:hAnsi="宋体" w:cs="宋体"/>
          <w:b/>
          <w:bCs/>
          <w:color w:val="auto"/>
          <w:sz w:val="24"/>
          <w:highlight w:val="none"/>
        </w:rPr>
        <w:t>1. 招标条件</w:t>
      </w:r>
      <w:bookmarkEnd w:id="1"/>
    </w:p>
    <w:p w14:paraId="49AE23A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1.1 项目名称：</w:t>
      </w:r>
      <w:r>
        <w:rPr>
          <w:rFonts w:hint="eastAsia" w:ascii="宋体" w:hAnsi="宋体" w:cs="宋体"/>
          <w:color w:val="auto"/>
          <w:sz w:val="24"/>
          <w:highlight w:val="none"/>
          <w:u w:val="single"/>
          <w:lang w:eastAsia="zh-CN"/>
        </w:rPr>
        <w:t>水木冲尾矿库闭库销号工程监理</w:t>
      </w:r>
      <w:r>
        <w:rPr>
          <w:rFonts w:hint="eastAsia" w:ascii="宋体" w:hAnsi="宋体" w:cs="宋体"/>
          <w:color w:val="auto"/>
          <w:sz w:val="24"/>
          <w:highlight w:val="none"/>
        </w:rPr>
        <w:t>；</w:t>
      </w:r>
    </w:p>
    <w:p w14:paraId="68D6DAB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1.2 招标人：</w:t>
      </w:r>
      <w:r>
        <w:rPr>
          <w:rFonts w:hint="eastAsia" w:ascii="宋体" w:hAnsi="宋体" w:cs="宋体"/>
          <w:color w:val="auto"/>
          <w:sz w:val="24"/>
          <w:highlight w:val="none"/>
          <w:u w:val="single"/>
          <w:lang w:eastAsia="zh-CN"/>
        </w:rPr>
        <w:t>安徽奋迅实业有限公司</w:t>
      </w:r>
      <w:r>
        <w:rPr>
          <w:rFonts w:hint="eastAsia" w:ascii="宋体" w:hAnsi="宋体" w:cs="宋体"/>
          <w:color w:val="auto"/>
          <w:sz w:val="24"/>
          <w:highlight w:val="none"/>
        </w:rPr>
        <w:t>；</w:t>
      </w:r>
    </w:p>
    <w:p w14:paraId="7D7D457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1.3 项目业主：</w:t>
      </w:r>
      <w:r>
        <w:rPr>
          <w:rFonts w:hint="eastAsia" w:ascii="宋体" w:hAnsi="宋体" w:cs="宋体"/>
          <w:color w:val="auto"/>
          <w:sz w:val="24"/>
          <w:highlight w:val="none"/>
          <w:u w:val="single"/>
          <w:lang w:eastAsia="zh-CN"/>
        </w:rPr>
        <w:t>安徽奋迅实业有限公司</w:t>
      </w:r>
      <w:r>
        <w:rPr>
          <w:rFonts w:hint="eastAsia" w:ascii="宋体" w:hAnsi="宋体" w:cs="宋体"/>
          <w:color w:val="auto"/>
          <w:sz w:val="24"/>
          <w:highlight w:val="none"/>
        </w:rPr>
        <w:t>；</w:t>
      </w:r>
    </w:p>
    <w:p w14:paraId="6602AF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1.4 资金来源：</w:t>
      </w:r>
      <w:r>
        <w:rPr>
          <w:rFonts w:hint="eastAsia" w:ascii="宋体" w:hAnsi="宋体" w:cs="宋体"/>
          <w:color w:val="auto"/>
          <w:sz w:val="24"/>
          <w:highlight w:val="none"/>
          <w:u w:val="single"/>
          <w:lang w:eastAsia="zh-CN"/>
        </w:rPr>
        <w:t>对上争取及自筹</w:t>
      </w:r>
      <w:r>
        <w:rPr>
          <w:rFonts w:hint="eastAsia" w:ascii="宋体" w:hAnsi="宋体" w:cs="宋体"/>
          <w:color w:val="auto"/>
          <w:sz w:val="24"/>
          <w:highlight w:val="none"/>
        </w:rPr>
        <w:t>；</w:t>
      </w:r>
    </w:p>
    <w:p w14:paraId="1CD20A0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1.5 项目出资比例：</w:t>
      </w:r>
      <w:r>
        <w:rPr>
          <w:rFonts w:hint="eastAsia" w:ascii="宋体" w:hAnsi="宋体" w:cs="宋体"/>
          <w:color w:val="auto"/>
          <w:sz w:val="24"/>
          <w:highlight w:val="none"/>
          <w:u w:val="single"/>
        </w:rPr>
        <w:t>100%</w:t>
      </w:r>
      <w:r>
        <w:rPr>
          <w:rFonts w:hint="eastAsia" w:ascii="宋体" w:hAnsi="宋体" w:cs="宋体"/>
          <w:color w:val="auto"/>
          <w:sz w:val="24"/>
          <w:highlight w:val="none"/>
        </w:rPr>
        <w:t>；</w:t>
      </w:r>
    </w:p>
    <w:p w14:paraId="13EF2A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1.6招标方式：</w:t>
      </w:r>
      <w:r>
        <w:rPr>
          <w:rFonts w:hint="eastAsia" w:ascii="宋体" w:hAnsi="宋体" w:cs="宋体"/>
          <w:color w:val="auto"/>
          <w:sz w:val="24"/>
          <w:highlight w:val="none"/>
          <w:u w:val="single"/>
        </w:rPr>
        <w:t>公开招标</w:t>
      </w:r>
      <w:r>
        <w:rPr>
          <w:rFonts w:hint="eastAsia" w:ascii="宋体" w:hAnsi="宋体" w:cs="宋体"/>
          <w:color w:val="auto"/>
          <w:sz w:val="24"/>
          <w:highlight w:val="none"/>
        </w:rPr>
        <w:t>；</w:t>
      </w:r>
    </w:p>
    <w:p w14:paraId="3E2D25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1.7评标办法：</w:t>
      </w:r>
      <w:r>
        <w:rPr>
          <w:rFonts w:hint="eastAsia" w:ascii="宋体" w:hAnsi="宋体" w:cs="宋体"/>
          <w:color w:val="auto"/>
          <w:sz w:val="24"/>
          <w:highlight w:val="none"/>
          <w:u w:val="single"/>
          <w:lang w:eastAsia="zh-CN"/>
        </w:rPr>
        <w:t>综合评估法</w:t>
      </w:r>
      <w:r>
        <w:rPr>
          <w:rFonts w:hint="eastAsia" w:ascii="宋体" w:hAnsi="宋体" w:cs="宋体"/>
          <w:color w:val="auto"/>
          <w:sz w:val="24"/>
          <w:highlight w:val="none"/>
        </w:rPr>
        <w:t>；</w:t>
      </w:r>
    </w:p>
    <w:p w14:paraId="51F08B4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1.8定标方法：本次招标</w:t>
      </w:r>
      <w:r>
        <w:rPr>
          <w:rFonts w:hint="eastAsia" w:ascii="宋体" w:hAnsi="宋体" w:cs="宋体"/>
          <w:color w:val="auto"/>
          <w:sz w:val="24"/>
          <w:highlight w:val="none"/>
          <w:u w:val="single"/>
        </w:rPr>
        <w:t xml:space="preserve"> </w:t>
      </w:r>
      <w:r>
        <w:rPr>
          <w:rFonts w:hint="eastAsia" w:ascii="宋体" w:hAnsi="宋体" w:cs="宋体"/>
          <w:bCs/>
          <w:snapToGrid w:val="0"/>
          <w:color w:val="auto"/>
          <w:sz w:val="24"/>
          <w:highlight w:val="none"/>
          <w:u w:val="single"/>
        </w:rPr>
        <w:t xml:space="preserve">不采用 </w:t>
      </w:r>
      <w:r>
        <w:rPr>
          <w:rFonts w:hint="eastAsia" w:ascii="宋体" w:hAnsi="宋体" w:cs="宋体"/>
          <w:bCs/>
          <w:snapToGrid w:val="0"/>
          <w:color w:val="auto"/>
          <w:sz w:val="24"/>
          <w:highlight w:val="none"/>
        </w:rPr>
        <w:t>评定分离。</w:t>
      </w:r>
    </w:p>
    <w:p w14:paraId="16FC91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3" w:name="_Toc27701"/>
      <w:r>
        <w:rPr>
          <w:rFonts w:hint="eastAsia" w:ascii="宋体" w:hAnsi="宋体" w:cs="宋体"/>
          <w:b/>
          <w:bCs/>
          <w:color w:val="auto"/>
          <w:sz w:val="24"/>
          <w:highlight w:val="none"/>
        </w:rPr>
        <w:t>2. 项目概况与招标范围</w:t>
      </w:r>
      <w:bookmarkEnd w:id="3"/>
    </w:p>
    <w:p w14:paraId="528FD8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2.1 招标项目名称：</w:t>
      </w:r>
      <w:r>
        <w:rPr>
          <w:rFonts w:hint="eastAsia" w:ascii="宋体" w:hAnsi="宋体" w:cs="宋体"/>
          <w:color w:val="auto"/>
          <w:sz w:val="24"/>
          <w:highlight w:val="none"/>
          <w:u w:val="single"/>
          <w:lang w:eastAsia="zh-CN"/>
        </w:rPr>
        <w:t>水木冲尾矿库闭库销号工程监理</w:t>
      </w:r>
      <w:r>
        <w:rPr>
          <w:rFonts w:hint="eastAsia" w:ascii="宋体" w:hAnsi="宋体" w:cs="宋体"/>
          <w:color w:val="auto"/>
          <w:sz w:val="24"/>
          <w:highlight w:val="none"/>
        </w:rPr>
        <w:t>；</w:t>
      </w:r>
    </w:p>
    <w:p w14:paraId="7B1CD61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2.2 招标项目编号：</w:t>
      </w:r>
      <w:r>
        <w:rPr>
          <w:rFonts w:hint="eastAsia" w:ascii="宋体" w:hAnsi="宋体" w:cs="宋体"/>
          <w:color w:val="auto"/>
          <w:sz w:val="24"/>
          <w:highlight w:val="none"/>
          <w:u w:val="single"/>
          <w:lang w:eastAsia="zh-CN"/>
        </w:rPr>
        <w:t>TSZB2026021</w:t>
      </w:r>
      <w:r>
        <w:rPr>
          <w:rFonts w:hint="eastAsia" w:ascii="宋体" w:hAnsi="宋体" w:cs="宋体"/>
          <w:color w:val="auto"/>
          <w:sz w:val="24"/>
          <w:highlight w:val="none"/>
        </w:rPr>
        <w:t>；</w:t>
      </w:r>
    </w:p>
    <w:p w14:paraId="5CCDDD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2.3 标段划分：</w:t>
      </w:r>
      <w:r>
        <w:rPr>
          <w:rFonts w:hint="eastAsia" w:ascii="宋体" w:hAnsi="宋体" w:cs="宋体"/>
          <w:color w:val="auto"/>
          <w:sz w:val="24"/>
          <w:highlight w:val="none"/>
          <w:u w:val="single"/>
        </w:rPr>
        <w:t xml:space="preserve">一个标段 </w:t>
      </w:r>
      <w:r>
        <w:rPr>
          <w:rFonts w:hint="eastAsia" w:ascii="宋体" w:hAnsi="宋体" w:cs="宋体"/>
          <w:color w:val="auto"/>
          <w:sz w:val="24"/>
          <w:highlight w:val="none"/>
        </w:rPr>
        <w:t>；</w:t>
      </w:r>
    </w:p>
    <w:p w14:paraId="19AD82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2.4 招标项目标段编号：</w:t>
      </w:r>
      <w:r>
        <w:rPr>
          <w:rFonts w:hint="eastAsia" w:ascii="宋体" w:hAnsi="宋体" w:cs="宋体"/>
          <w:color w:val="auto"/>
          <w:sz w:val="24"/>
          <w:highlight w:val="none"/>
          <w:u w:val="single"/>
          <w:lang w:eastAsia="zh-CN"/>
        </w:rPr>
        <w:t>TSZB2026021</w:t>
      </w:r>
      <w:r>
        <w:rPr>
          <w:rFonts w:hint="eastAsia" w:ascii="宋体" w:hAnsi="宋体" w:cs="宋体"/>
          <w:color w:val="auto"/>
          <w:sz w:val="24"/>
          <w:highlight w:val="none"/>
        </w:rPr>
        <w:t>；</w:t>
      </w:r>
    </w:p>
    <w:p w14:paraId="646CCD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2.5 建设地点：</w:t>
      </w:r>
      <w:r>
        <w:rPr>
          <w:rFonts w:hint="eastAsia" w:ascii="宋体" w:hAnsi="宋体" w:cs="宋体"/>
          <w:color w:val="auto"/>
          <w:sz w:val="24"/>
          <w:highlight w:val="none"/>
          <w:u w:val="single"/>
          <w:lang w:eastAsia="zh-CN"/>
        </w:rPr>
        <w:t>铜陵市铜官区</w:t>
      </w:r>
      <w:r>
        <w:rPr>
          <w:rFonts w:hint="eastAsia" w:ascii="宋体" w:hAnsi="宋体" w:cs="宋体"/>
          <w:color w:val="auto"/>
          <w:sz w:val="24"/>
          <w:highlight w:val="none"/>
        </w:rPr>
        <w:t>；</w:t>
      </w:r>
    </w:p>
    <w:p w14:paraId="19123D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cs="宋体"/>
          <w:bCs/>
          <w:snapToGrid w:val="0"/>
          <w:color w:val="auto"/>
          <w:sz w:val="24"/>
          <w:highlight w:val="none"/>
        </w:rPr>
        <w:t>2.6 建设规模：</w:t>
      </w:r>
      <w:r>
        <w:rPr>
          <w:rFonts w:hint="eastAsia" w:ascii="宋体" w:hAnsi="宋体" w:cs="宋体"/>
          <w:color w:val="auto"/>
          <w:sz w:val="24"/>
          <w:highlight w:val="none"/>
          <w:u w:val="single"/>
          <w:lang w:eastAsia="zh-CN"/>
        </w:rPr>
        <w:t>本项目尾矿库为“头顶库”，主要安全设施按照三等库标准设计并施工，分为闭库工程和销号工程。主要建设内容包含:库内滩面整平、原临时导水沟拆除、新建横向和纵向排水沟、副坝拆除、新建溢洪道、新建泄水陡槽、坝下沉淀池修整、滩面覆土、铺洒草籽、边坡挂网喷播、边坡分级平台修整、排水井封堵等工程</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总投资额约2650万元</w:t>
      </w:r>
      <w:r>
        <w:rPr>
          <w:rFonts w:hint="eastAsia" w:ascii="宋体" w:hAnsi="宋体" w:eastAsia="宋体" w:cs="宋体"/>
          <w:color w:val="auto"/>
          <w:sz w:val="24"/>
          <w:highlight w:val="none"/>
          <w:u w:val="single"/>
          <w:lang w:eastAsia="zh-CN"/>
        </w:rPr>
        <w:t>。</w:t>
      </w:r>
    </w:p>
    <w:p w14:paraId="2476A3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 xml:space="preserve">2.7 </w:t>
      </w:r>
      <w:r>
        <w:rPr>
          <w:rFonts w:hint="eastAsia" w:ascii="宋体" w:hAnsi="宋体" w:cs="宋体"/>
          <w:bCs/>
          <w:snapToGrid w:val="0"/>
          <w:color w:val="auto"/>
          <w:sz w:val="24"/>
          <w:highlight w:val="none"/>
          <w:lang w:val="en-US" w:eastAsia="zh-CN"/>
        </w:rPr>
        <w:t>最高投标限价</w:t>
      </w:r>
      <w:r>
        <w:rPr>
          <w:rFonts w:hint="eastAsia" w:ascii="宋体" w:hAnsi="宋体" w:cs="宋体"/>
          <w:bCs/>
          <w:snapToGrid w:val="0"/>
          <w:color w:val="auto"/>
          <w:sz w:val="24"/>
          <w:highlight w:val="none"/>
        </w:rPr>
        <w:t>：</w:t>
      </w:r>
      <w:r>
        <w:rPr>
          <w:rFonts w:hint="eastAsia" w:ascii="宋体" w:hAnsi="宋体" w:cs="宋体"/>
          <w:bCs/>
          <w:snapToGrid w:val="0"/>
          <w:color w:val="auto"/>
          <w:sz w:val="24"/>
          <w:highlight w:val="none"/>
          <w:u w:val="single"/>
          <w:lang w:val="en-US" w:eastAsia="zh-CN"/>
        </w:rPr>
        <w:t xml:space="preserve"> 26.5万元</w:t>
      </w:r>
      <w:r>
        <w:rPr>
          <w:rFonts w:hint="eastAsia" w:ascii="宋体" w:hAnsi="宋体" w:eastAsia="宋体" w:cs="宋体"/>
          <w:color w:val="auto"/>
          <w:sz w:val="24"/>
          <w:highlight w:val="none"/>
          <w:u w:val="single"/>
          <w:lang w:eastAsia="zh-CN"/>
        </w:rPr>
        <w:t>；</w:t>
      </w:r>
    </w:p>
    <w:p w14:paraId="46E423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 xml:space="preserve">2.8 </w:t>
      </w:r>
      <w:r>
        <w:rPr>
          <w:rFonts w:hint="eastAsia" w:ascii="宋体" w:hAnsi="宋体"/>
          <w:color w:val="auto"/>
          <w:sz w:val="24"/>
          <w:szCs w:val="24"/>
          <w:highlight w:val="none"/>
        </w:rPr>
        <w:t>施工监理服务周期：</w:t>
      </w:r>
      <w:r>
        <w:rPr>
          <w:rFonts w:hint="eastAsia" w:ascii="宋体" w:hAnsi="宋体"/>
          <w:color w:val="auto"/>
          <w:sz w:val="24"/>
          <w:szCs w:val="24"/>
          <w:highlight w:val="none"/>
          <w:u w:val="single"/>
        </w:rPr>
        <w:t>工程施工准备阶段至工程竣工备案、后期结算审计结束及</w:t>
      </w:r>
      <w:r>
        <w:rPr>
          <w:rFonts w:hint="eastAsia" w:ascii="宋体" w:hAnsi="宋体"/>
          <w:color w:val="auto"/>
          <w:sz w:val="24"/>
          <w:szCs w:val="24"/>
          <w:highlight w:val="none"/>
          <w:u w:val="single"/>
          <w:lang w:eastAsia="zh-CN"/>
        </w:rPr>
        <w:t>缺陷责任期</w:t>
      </w:r>
      <w:r>
        <w:rPr>
          <w:rFonts w:hint="eastAsia" w:ascii="宋体" w:hAnsi="宋体"/>
          <w:color w:val="auto"/>
          <w:sz w:val="24"/>
          <w:szCs w:val="24"/>
          <w:highlight w:val="none"/>
          <w:u w:val="single"/>
        </w:rPr>
        <w:t>满</w:t>
      </w:r>
      <w:r>
        <w:rPr>
          <w:rFonts w:hint="eastAsia" w:ascii="宋体" w:hAnsi="宋体" w:cs="宋体"/>
          <w:color w:val="auto"/>
          <w:sz w:val="24"/>
          <w:highlight w:val="none"/>
          <w:u w:val="single"/>
        </w:rPr>
        <w:t>；</w:t>
      </w:r>
    </w:p>
    <w:p w14:paraId="6FBD42D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9"/>
        <w:rPr>
          <w:rFonts w:hint="default" w:ascii="宋体" w:hAnsi="宋体" w:eastAsia="宋体" w:cs="宋体"/>
          <w:color w:val="auto"/>
          <w:kern w:val="2"/>
          <w:sz w:val="24"/>
          <w:szCs w:val="24"/>
          <w:highlight w:val="none"/>
          <w:u w:val="single"/>
          <w:lang w:val="en-US" w:eastAsia="zh-CN" w:bidi="ar-SA"/>
        </w:rPr>
      </w:pPr>
      <w:r>
        <w:rPr>
          <w:rFonts w:hint="eastAsia" w:ascii="宋体" w:hAnsi="宋体" w:cs="宋体"/>
          <w:bCs/>
          <w:snapToGrid w:val="0"/>
          <w:color w:val="auto"/>
          <w:sz w:val="24"/>
          <w:highlight w:val="none"/>
        </w:rPr>
        <w:t>2.9 招标范围：</w:t>
      </w:r>
      <w:r>
        <w:rPr>
          <w:rFonts w:hint="eastAsia" w:ascii="宋体" w:hAnsi="宋体" w:eastAsia="宋体" w:cs="宋体"/>
          <w:color w:val="auto"/>
          <w:kern w:val="2"/>
          <w:sz w:val="24"/>
          <w:szCs w:val="24"/>
          <w:highlight w:val="none"/>
          <w:u w:val="single"/>
          <w:lang w:val="en-US" w:eastAsia="zh-CN" w:bidi="ar-SA"/>
        </w:rPr>
        <w:t>项目施工阶段全过程监理、缺陷期相关服务以及招标文件中所载明的内容及业主安排的其他事项。</w:t>
      </w:r>
    </w:p>
    <w:p w14:paraId="5EF9162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4" w:name="_Toc18735"/>
      <w:r>
        <w:rPr>
          <w:rFonts w:hint="eastAsia" w:ascii="宋体" w:hAnsi="宋体" w:cs="宋体"/>
          <w:b/>
          <w:bCs/>
          <w:color w:val="auto"/>
          <w:sz w:val="24"/>
          <w:highlight w:val="none"/>
        </w:rPr>
        <w:t>3. 投标人资格要求</w:t>
      </w:r>
      <w:bookmarkEnd w:id="4"/>
    </w:p>
    <w:p w14:paraId="37C173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Cs/>
          <w:snapToGrid w:val="0"/>
          <w:color w:val="auto"/>
          <w:sz w:val="24"/>
          <w:highlight w:val="none"/>
          <w:u w:val="single"/>
        </w:rPr>
      </w:pPr>
      <w:r>
        <w:rPr>
          <w:rFonts w:hint="eastAsia" w:ascii="宋体" w:hAnsi="宋体" w:cs="宋体"/>
          <w:bCs/>
          <w:snapToGrid w:val="0"/>
          <w:color w:val="auto"/>
          <w:sz w:val="24"/>
          <w:highlight w:val="none"/>
        </w:rPr>
        <w:t>3.1 投标人资质要求：</w:t>
      </w:r>
      <w:r>
        <w:rPr>
          <w:rFonts w:hint="eastAsia" w:ascii="宋体" w:hAnsi="宋体" w:cs="宋体"/>
          <w:bCs/>
          <w:snapToGrid w:val="0"/>
          <w:color w:val="auto"/>
          <w:sz w:val="24"/>
          <w:highlight w:val="none"/>
          <w:u w:val="single"/>
          <w:lang w:val="en-US" w:eastAsia="zh-CN"/>
        </w:rPr>
        <w:t>本次招标要求投标人具备城乡建设部门颁发的矿山工程施工监理甲级资质或工程监理综合资质。</w:t>
      </w:r>
    </w:p>
    <w:p w14:paraId="276D25E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sz w:val="24"/>
          <w:highlight w:val="none"/>
          <w:u w:val="single"/>
          <w:lang w:val="en-US" w:eastAsia="zh-CN"/>
        </w:rPr>
      </w:pPr>
      <w:r>
        <w:rPr>
          <w:rFonts w:hint="eastAsia" w:ascii="宋体" w:hAnsi="宋体" w:cs="宋体"/>
          <w:bCs/>
          <w:snapToGrid w:val="0"/>
          <w:color w:val="auto"/>
          <w:sz w:val="24"/>
          <w:highlight w:val="none"/>
        </w:rPr>
        <w:t>3.2 投标人业绩要求：</w:t>
      </w:r>
      <w:r>
        <w:rPr>
          <w:rFonts w:hint="eastAsia" w:ascii="宋体" w:hAnsi="宋体" w:cs="宋体"/>
          <w:bCs/>
          <w:snapToGrid w:val="0"/>
          <w:color w:val="auto"/>
          <w:sz w:val="24"/>
          <w:highlight w:val="none"/>
          <w:u w:val="single"/>
          <w:lang w:val="en-US" w:eastAsia="zh-CN"/>
        </w:rPr>
        <w:t>无</w:t>
      </w:r>
    </w:p>
    <w:p w14:paraId="4F546E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u w:val="single"/>
        </w:rPr>
      </w:pPr>
      <w:r>
        <w:rPr>
          <w:rFonts w:hint="eastAsia" w:ascii="宋体" w:hAnsi="宋体" w:cs="宋体"/>
          <w:bCs/>
          <w:snapToGrid w:val="0"/>
          <w:color w:val="auto"/>
          <w:sz w:val="24"/>
          <w:highlight w:val="none"/>
        </w:rPr>
        <w:t>3.3 投标拟派项目总监理工程师需具备下列条件：</w:t>
      </w:r>
      <w:r>
        <w:rPr>
          <w:rFonts w:hint="eastAsia" w:ascii="宋体" w:hAnsi="宋体" w:cs="宋体"/>
          <w:bCs/>
          <w:snapToGrid w:val="0"/>
          <w:color w:val="auto"/>
          <w:sz w:val="24"/>
          <w:highlight w:val="none"/>
          <w:u w:val="single"/>
          <w:lang w:val="en-US" w:eastAsia="zh-CN"/>
        </w:rPr>
        <w:t>本次招标要求拟派的项目总监须具备有效的矿山工程专业监理工程师证书，并持有在开标前半年内在该单位连续三个月的社保缴纳证明。</w:t>
      </w:r>
    </w:p>
    <w:p w14:paraId="7F14EC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3.4 拟派项目总监理工程师业绩要求：</w:t>
      </w:r>
      <w:r>
        <w:rPr>
          <w:rFonts w:hint="eastAsia" w:ascii="宋体" w:hAnsi="宋体" w:cs="宋体"/>
          <w:bCs/>
          <w:snapToGrid w:val="0"/>
          <w:color w:val="auto"/>
          <w:sz w:val="24"/>
          <w:highlight w:val="none"/>
          <w:u w:val="single"/>
        </w:rPr>
        <w:t>无。</w:t>
      </w:r>
    </w:p>
    <w:p w14:paraId="096ED050">
      <w:pPr>
        <w:keepNext w:val="0"/>
        <w:keepLines w:val="0"/>
        <w:pageBreakBefore w:val="0"/>
        <w:widowControl w:val="0"/>
        <w:shd w:val="clear" w:color="auto" w:fill="auto"/>
        <w:tabs>
          <w:tab w:val="center" w:pos="447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3.5 投标人财务要求：</w:t>
      </w:r>
      <w:r>
        <w:rPr>
          <w:rFonts w:hint="eastAsia" w:ascii="宋体" w:hAnsi="宋体" w:cs="宋体"/>
          <w:bCs/>
          <w:snapToGrid w:val="0"/>
          <w:color w:val="auto"/>
          <w:sz w:val="24"/>
          <w:highlight w:val="none"/>
          <w:u w:val="single"/>
        </w:rPr>
        <w:t>无</w:t>
      </w:r>
      <w:r>
        <w:rPr>
          <w:rFonts w:hint="eastAsia" w:ascii="宋体" w:hAnsi="宋体" w:cs="宋体"/>
          <w:bCs/>
          <w:snapToGrid w:val="0"/>
          <w:color w:val="auto"/>
          <w:sz w:val="24"/>
          <w:highlight w:val="none"/>
        </w:rPr>
        <w:t>。</w:t>
      </w:r>
      <w:r>
        <w:rPr>
          <w:rFonts w:hint="eastAsia" w:ascii="宋体" w:hAnsi="宋体" w:cs="宋体"/>
          <w:bCs/>
          <w:snapToGrid w:val="0"/>
          <w:color w:val="auto"/>
          <w:sz w:val="24"/>
          <w:highlight w:val="none"/>
        </w:rPr>
        <w:tab/>
      </w:r>
    </w:p>
    <w:p w14:paraId="44E51A9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3.6 本次招标</w:t>
      </w:r>
      <w:r>
        <w:rPr>
          <w:rFonts w:hint="eastAsia" w:ascii="宋体" w:hAnsi="宋体" w:cs="宋体"/>
          <w:bCs/>
          <w:snapToGrid w:val="0"/>
          <w:color w:val="auto"/>
          <w:sz w:val="24"/>
          <w:highlight w:val="none"/>
          <w:u w:val="single"/>
          <w:lang w:val="en-US" w:eastAsia="zh-CN"/>
        </w:rPr>
        <w:t>不</w:t>
      </w:r>
      <w:r>
        <w:rPr>
          <w:rFonts w:hint="eastAsia" w:ascii="宋体" w:hAnsi="宋体" w:cs="宋体"/>
          <w:bCs/>
          <w:snapToGrid w:val="0"/>
          <w:color w:val="auto"/>
          <w:sz w:val="24"/>
          <w:highlight w:val="none"/>
          <w:u w:val="single"/>
        </w:rPr>
        <w:t>接受</w:t>
      </w:r>
      <w:r>
        <w:rPr>
          <w:rFonts w:hint="eastAsia" w:ascii="宋体" w:hAnsi="宋体" w:cs="宋体"/>
          <w:bCs/>
          <w:snapToGrid w:val="0"/>
          <w:color w:val="auto"/>
          <w:sz w:val="24"/>
          <w:highlight w:val="none"/>
        </w:rPr>
        <w:t>联合体投标</w:t>
      </w:r>
      <w:r>
        <w:rPr>
          <w:rFonts w:hint="eastAsia" w:ascii="宋体" w:hAnsi="宋体" w:cs="宋体"/>
          <w:bCs/>
          <w:snapToGrid w:val="0"/>
          <w:color w:val="auto"/>
          <w:sz w:val="24"/>
          <w:highlight w:val="none"/>
          <w:lang w:val="zh-CN" w:eastAsia="zh-CN"/>
        </w:rPr>
        <w:t>。</w:t>
      </w:r>
    </w:p>
    <w:p w14:paraId="1A049E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3.7其他要求：</w:t>
      </w:r>
      <w:r>
        <w:rPr>
          <w:rFonts w:hint="eastAsia" w:ascii="宋体" w:hAnsi="宋体" w:cs="宋体"/>
          <w:color w:val="auto"/>
          <w:sz w:val="24"/>
          <w:highlight w:val="none"/>
          <w:u w:val="single"/>
        </w:rPr>
        <w:t>无</w:t>
      </w:r>
      <w:r>
        <w:rPr>
          <w:rFonts w:hint="eastAsia" w:ascii="宋体" w:hAnsi="宋体" w:cs="宋体"/>
          <w:bCs/>
          <w:snapToGrid w:val="0"/>
          <w:color w:val="auto"/>
          <w:sz w:val="24"/>
          <w:highlight w:val="none"/>
        </w:rPr>
        <w:t>。</w:t>
      </w:r>
    </w:p>
    <w:p w14:paraId="2E6B26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5" w:name="_Toc14225"/>
      <w:r>
        <w:rPr>
          <w:rFonts w:hint="eastAsia" w:ascii="宋体" w:hAnsi="宋体" w:cs="宋体"/>
          <w:b/>
          <w:bCs/>
          <w:color w:val="auto"/>
          <w:sz w:val="24"/>
          <w:highlight w:val="none"/>
        </w:rPr>
        <w:t>4. 招标文件的获取</w:t>
      </w:r>
      <w:bookmarkEnd w:id="5"/>
    </w:p>
    <w:p w14:paraId="198737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4.1 获取时间：起始为公告挂网时间，终止为投标文件递交的截止时间。</w:t>
      </w:r>
    </w:p>
    <w:p w14:paraId="2C5E53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sz w:val="24"/>
          <w:highlight w:val="none"/>
        </w:rPr>
      </w:pPr>
      <w:bookmarkStart w:id="6" w:name="_Toc20652"/>
      <w:r>
        <w:rPr>
          <w:rFonts w:hint="eastAsia" w:ascii="宋体" w:hAnsi="宋体" w:eastAsia="宋体" w:cs="宋体"/>
          <w:bCs/>
          <w:snapToGrid w:val="0"/>
          <w:color w:val="auto"/>
          <w:sz w:val="24"/>
          <w:highlight w:val="none"/>
        </w:rPr>
        <w:t>4.2.获取方式：</w:t>
      </w:r>
    </w:p>
    <w:p w14:paraId="20D593F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sz w:val="24"/>
          <w:highlight w:val="none"/>
        </w:rPr>
      </w:pPr>
      <w:r>
        <w:rPr>
          <w:rFonts w:hint="eastAsia" w:ascii="宋体" w:hAnsi="宋体" w:eastAsia="宋体" w:cs="宋体"/>
          <w:bCs/>
          <w:snapToGrid w:val="0"/>
          <w:color w:val="auto"/>
          <w:sz w:val="24"/>
          <w:highlight w:val="none"/>
        </w:rPr>
        <w:t>(1)</w:t>
      </w:r>
      <w:r>
        <w:rPr>
          <w:rFonts w:hint="eastAsia" w:ascii="宋体" w:hAnsi="宋体" w:eastAsia="宋体" w:cs="宋体"/>
          <w:bCs/>
          <w:snapToGrid w:val="0"/>
          <w:color w:val="auto"/>
          <w:sz w:val="24"/>
          <w:highlight w:val="none"/>
          <w:lang w:val="en-US" w:eastAsia="zh-CN"/>
        </w:rPr>
        <w:t>所有招标内容均以安徽省招标投标信息网公布的该工程招标公告、附件、答疑为准，投标人自行下载，其它任何形式的内容不作为招标投标以及开标评标的依据。请各投标人注意该网站中关于本项目的信息发布内容，如因投标人自身原因未了解公告、答疑等信息的，责任自负</w:t>
      </w:r>
      <w:r>
        <w:rPr>
          <w:rFonts w:hint="eastAsia" w:ascii="宋体" w:hAnsi="宋体" w:eastAsia="宋体" w:cs="宋体"/>
          <w:bCs/>
          <w:snapToGrid w:val="0"/>
          <w:color w:val="auto"/>
          <w:sz w:val="24"/>
          <w:highlight w:val="none"/>
        </w:rPr>
        <w:t>。</w:t>
      </w:r>
    </w:p>
    <w:p w14:paraId="344ABEE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(2)招标文件费用支付方式：</w:t>
      </w:r>
      <w:r>
        <w:rPr>
          <w:rFonts w:hint="eastAsia" w:ascii="宋体" w:hAnsi="宋体" w:cs="宋体"/>
          <w:bCs/>
          <w:snapToGrid w:val="0"/>
          <w:color w:val="auto"/>
          <w:sz w:val="24"/>
          <w:highlight w:val="none"/>
          <w:u w:val="single"/>
        </w:rPr>
        <w:t>/</w:t>
      </w:r>
      <w:r>
        <w:rPr>
          <w:rFonts w:hint="eastAsia" w:ascii="宋体" w:hAnsi="宋体" w:cs="宋体"/>
          <w:bCs/>
          <w:snapToGrid w:val="0"/>
          <w:color w:val="auto"/>
          <w:sz w:val="24"/>
          <w:highlight w:val="none"/>
        </w:rPr>
        <w:t>。</w:t>
      </w:r>
    </w:p>
    <w:p w14:paraId="631900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(3)招标文件获取过程中有任何疑问，请在工作时间(工作日上午8:30至11:30,下午2:30至5:30)拨打</w:t>
      </w:r>
      <w:r>
        <w:rPr>
          <w:rFonts w:hint="eastAsia" w:ascii="宋体" w:hAnsi="宋体" w:cs="宋体"/>
          <w:bCs/>
          <w:snapToGrid w:val="0"/>
          <w:color w:val="auto"/>
          <w:sz w:val="24"/>
          <w:highlight w:val="none"/>
          <w:u w:val="single"/>
          <w:lang w:eastAsia="zh-CN"/>
        </w:rPr>
        <w:t>李工</w:t>
      </w:r>
      <w:r>
        <w:rPr>
          <w:rFonts w:hint="eastAsia" w:ascii="宋体" w:hAnsi="宋体" w:cs="宋体"/>
          <w:bCs/>
          <w:snapToGrid w:val="0"/>
          <w:color w:val="auto"/>
          <w:sz w:val="24"/>
          <w:highlight w:val="none"/>
          <w:u w:val="single"/>
        </w:rPr>
        <w:t xml:space="preserve"> 0562-2828170/18205627204</w:t>
      </w:r>
      <w:r>
        <w:rPr>
          <w:rFonts w:hint="eastAsia" w:ascii="宋体" w:hAnsi="宋体" w:cs="宋体"/>
          <w:bCs/>
          <w:snapToGrid w:val="0"/>
          <w:color w:val="auto"/>
          <w:sz w:val="24"/>
          <w:highlight w:val="none"/>
        </w:rPr>
        <w:t>。</w:t>
      </w:r>
    </w:p>
    <w:p w14:paraId="77926E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4.3.招标文件价格：0元。</w:t>
      </w:r>
    </w:p>
    <w:p w14:paraId="176AB5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5. 投标文件的递交</w:t>
      </w:r>
      <w:bookmarkEnd w:id="6"/>
    </w:p>
    <w:p w14:paraId="711CA7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bookmarkStart w:id="7" w:name="_Toc15366"/>
      <w:r>
        <w:rPr>
          <w:rFonts w:hint="eastAsia" w:ascii="宋体" w:hAnsi="宋体" w:cs="宋体"/>
          <w:bCs/>
          <w:snapToGrid w:val="0"/>
          <w:color w:val="auto"/>
          <w:sz w:val="24"/>
          <w:highlight w:val="none"/>
        </w:rPr>
        <w:t>投标文件递交的截止时间(投标截止时间，下同)为</w:t>
      </w:r>
      <w:r>
        <w:rPr>
          <w:rFonts w:hint="eastAsia" w:ascii="宋体" w:hAnsi="宋体" w:cs="宋体"/>
          <w:bCs/>
          <w:snapToGrid w:val="0"/>
          <w:color w:val="auto"/>
          <w:sz w:val="24"/>
          <w:highlight w:val="none"/>
        </w:rPr>
        <w:t xml:space="preserve"> </w:t>
      </w:r>
      <w:r>
        <w:rPr>
          <w:rFonts w:hint="eastAsia" w:ascii="宋体" w:hAnsi="宋体" w:cs="宋体"/>
          <w:bCs/>
          <w:snapToGrid w:val="0"/>
          <w:color w:val="auto"/>
          <w:sz w:val="24"/>
          <w:highlight w:val="none"/>
          <w:lang w:eastAsia="zh-CN"/>
        </w:rPr>
        <w:t>2026年02月26日15时30分</w:t>
      </w:r>
      <w:r>
        <w:rPr>
          <w:rFonts w:hint="eastAsia" w:ascii="宋体" w:hAnsi="宋体" w:cs="宋体"/>
          <w:bCs/>
          <w:snapToGrid w:val="0"/>
          <w:color w:val="auto"/>
          <w:sz w:val="24"/>
          <w:highlight w:val="none"/>
        </w:rPr>
        <w:t>，投标人应在投标截止时间前在</w:t>
      </w:r>
      <w:r>
        <w:rPr>
          <w:rFonts w:hint="eastAsia" w:ascii="宋体" w:hAnsi="宋体" w:cs="宋体"/>
          <w:bCs/>
          <w:snapToGrid w:val="0"/>
          <w:color w:val="auto"/>
          <w:sz w:val="24"/>
          <w:highlight w:val="none"/>
          <w:u w:val="single"/>
          <w:lang w:eastAsia="zh-CN"/>
        </w:rPr>
        <w:t>安徽同升工程管理咨询有限责任公司四楼开标室</w:t>
      </w:r>
      <w:r>
        <w:rPr>
          <w:rFonts w:hint="eastAsia" w:ascii="宋体" w:hAnsi="宋体" w:cs="宋体"/>
          <w:bCs/>
          <w:snapToGrid w:val="0"/>
          <w:color w:val="auto"/>
          <w:sz w:val="24"/>
          <w:highlight w:val="none"/>
        </w:rPr>
        <w:t>现场提交投标文件。</w:t>
      </w:r>
    </w:p>
    <w:p w14:paraId="2FDC45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6. 开标时间及地点</w:t>
      </w:r>
      <w:bookmarkEnd w:id="7"/>
    </w:p>
    <w:p w14:paraId="20CD74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6.1 开标时间：</w:t>
      </w:r>
      <w:r>
        <w:rPr>
          <w:rFonts w:hint="eastAsia" w:ascii="宋体" w:hAnsi="宋体" w:cs="宋体"/>
          <w:bCs/>
          <w:snapToGrid w:val="0"/>
          <w:color w:val="auto"/>
          <w:sz w:val="24"/>
          <w:highlight w:val="none"/>
          <w:lang w:val="en-US" w:eastAsia="zh-CN"/>
        </w:rPr>
        <w:t xml:space="preserve"> </w:t>
      </w:r>
      <w:r>
        <w:rPr>
          <w:rFonts w:hint="eastAsia" w:ascii="宋体" w:hAnsi="宋体" w:cs="宋体"/>
          <w:bCs/>
          <w:snapToGrid w:val="0"/>
          <w:color w:val="auto"/>
          <w:sz w:val="24"/>
          <w:highlight w:val="none"/>
          <w:lang w:eastAsia="zh-CN"/>
        </w:rPr>
        <w:t>2026年02月26日15时30分</w:t>
      </w:r>
    </w:p>
    <w:p w14:paraId="1347492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6.2 开标地点：</w:t>
      </w:r>
      <w:r>
        <w:rPr>
          <w:rFonts w:hint="eastAsia" w:ascii="宋体" w:hAnsi="宋体" w:cs="宋体"/>
          <w:bCs/>
          <w:snapToGrid w:val="0"/>
          <w:color w:val="auto"/>
          <w:sz w:val="24"/>
          <w:highlight w:val="none"/>
          <w:lang w:eastAsia="zh-CN"/>
        </w:rPr>
        <w:t>安徽同升工程管理咨询有限责任公司四楼开标室</w:t>
      </w:r>
    </w:p>
    <w:p w14:paraId="734808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8" w:name="_Toc27562"/>
      <w:r>
        <w:rPr>
          <w:rFonts w:hint="eastAsia" w:ascii="宋体" w:hAnsi="宋体" w:cs="宋体"/>
          <w:b/>
          <w:bCs/>
          <w:color w:val="auto"/>
          <w:sz w:val="24"/>
          <w:highlight w:val="none"/>
        </w:rPr>
        <w:t>7. 发布公告的媒介</w:t>
      </w:r>
      <w:bookmarkEnd w:id="8"/>
    </w:p>
    <w:p w14:paraId="65C246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szCs w:val="24"/>
          <w:highlight w:val="none"/>
          <w:u w:val="single"/>
          <w:lang w:eastAsia="zh-CN"/>
        </w:rPr>
        <w:t>安徽同升工程管理咨询有限责任公司、安徽奋迅实业有限公司网</w:t>
      </w:r>
      <w:r>
        <w:rPr>
          <w:rFonts w:hint="eastAsia" w:ascii="宋体" w:hAnsi="宋体" w:cs="宋体"/>
          <w:color w:val="auto"/>
          <w:sz w:val="24"/>
          <w:highlight w:val="none"/>
        </w:rPr>
        <w:t>站上发布。</w:t>
      </w:r>
    </w:p>
    <w:p w14:paraId="6E3B92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9" w:name="_Toc1686"/>
      <w:r>
        <w:rPr>
          <w:rFonts w:hint="eastAsia" w:ascii="宋体" w:hAnsi="宋体" w:cs="宋体"/>
          <w:b/>
          <w:bCs/>
          <w:color w:val="auto"/>
          <w:sz w:val="24"/>
          <w:highlight w:val="none"/>
        </w:rPr>
        <w:t>8.联系方式</w:t>
      </w:r>
      <w:bookmarkEnd w:id="9"/>
    </w:p>
    <w:p w14:paraId="0310B60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8.1 招标人</w:t>
      </w:r>
    </w:p>
    <w:p w14:paraId="7C046B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 标 人：</w:t>
      </w:r>
      <w:r>
        <w:rPr>
          <w:rFonts w:hint="eastAsia" w:ascii="宋体" w:hAnsi="宋体" w:cs="宋体"/>
          <w:color w:val="auto"/>
          <w:sz w:val="24"/>
          <w:highlight w:val="none"/>
          <w:u w:val="single"/>
          <w:lang w:eastAsia="zh-CN"/>
        </w:rPr>
        <w:t>安徽奋迅实业有限公司</w:t>
      </w:r>
    </w:p>
    <w:p w14:paraId="0A30A0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szCs w:val="24"/>
          <w:highlight w:val="none"/>
          <w:u w:val="single"/>
          <w:lang w:eastAsia="zh-CN"/>
        </w:rPr>
        <w:t>铜陵市铜官区北斗星城D2栋8楼</w:t>
      </w:r>
    </w:p>
    <w:p w14:paraId="1F59C2D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eastAsia="zh-CN"/>
        </w:rPr>
        <w:t>谢女士</w:t>
      </w:r>
    </w:p>
    <w:p w14:paraId="6D27FF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电    话：</w:t>
      </w:r>
      <w:r>
        <w:rPr>
          <w:rFonts w:hint="eastAsia" w:ascii="宋体" w:hAnsi="宋体" w:cs="宋体"/>
          <w:color w:val="auto"/>
          <w:sz w:val="24"/>
          <w:highlight w:val="none"/>
          <w:u w:val="single"/>
          <w:lang w:eastAsia="zh-CN"/>
        </w:rPr>
        <w:t>0562-2686884</w:t>
      </w:r>
    </w:p>
    <w:p w14:paraId="19F845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8.2 招标代理机构</w:t>
      </w:r>
    </w:p>
    <w:p w14:paraId="0D2E04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安徽同升工程管理咨询有限责任公司</w:t>
      </w:r>
    </w:p>
    <w:p w14:paraId="5E424BA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铜陵市天山大道绿源大市场二期20#楼</w:t>
      </w:r>
    </w:p>
    <w:p w14:paraId="0B94A26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李工</w:t>
      </w:r>
      <w:r>
        <w:rPr>
          <w:rFonts w:hint="eastAsia" w:ascii="宋体" w:hAnsi="宋体" w:cs="宋体"/>
          <w:color w:val="auto"/>
          <w:sz w:val="24"/>
          <w:highlight w:val="none"/>
        </w:rPr>
        <w:t xml:space="preserve">                        </w:t>
      </w:r>
    </w:p>
    <w:p w14:paraId="4914B9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0562-2828170、18205627204</w:t>
      </w:r>
      <w:r>
        <w:rPr>
          <w:rFonts w:hint="eastAsia" w:ascii="宋体" w:hAnsi="宋体" w:cs="宋体"/>
          <w:color w:val="auto"/>
          <w:sz w:val="24"/>
          <w:highlight w:val="none"/>
        </w:rPr>
        <w:t xml:space="preserve">    </w:t>
      </w:r>
    </w:p>
    <w:p w14:paraId="543E82F9">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
          <w:bCs/>
          <w:color w:val="auto"/>
          <w:sz w:val="24"/>
          <w:szCs w:val="24"/>
          <w:highlight w:val="none"/>
        </w:rPr>
      </w:pPr>
      <w:bookmarkStart w:id="10" w:name="_Toc31612"/>
      <w:r>
        <w:rPr>
          <w:rFonts w:hint="eastAsia" w:ascii="宋体" w:hAnsi="宋体" w:eastAsia="宋体" w:cs="宋体"/>
          <w:b/>
          <w:bCs/>
          <w:color w:val="auto"/>
          <w:sz w:val="24"/>
          <w:szCs w:val="24"/>
          <w:highlight w:val="none"/>
        </w:rPr>
        <w:t>9.其他事项说明</w:t>
      </w:r>
      <w:bookmarkEnd w:id="10"/>
    </w:p>
    <w:p w14:paraId="0129FC88">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投标人不得存在的其他关联情形、不得存在的其他不良状况或不良信用记录详见投标人须知前附表。</w:t>
      </w:r>
    </w:p>
    <w:p w14:paraId="3CAD2BB8">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9.2本项目投标保证金为</w:t>
      </w:r>
      <w:r>
        <w:rPr>
          <w:rFonts w:hint="eastAsia" w:ascii="宋体" w:hAnsi="宋体" w:cs="宋体"/>
          <w:color w:val="auto"/>
          <w:sz w:val="24"/>
          <w:szCs w:val="24"/>
          <w:highlight w:val="none"/>
          <w:lang w:val="en-US" w:eastAsia="zh-CN"/>
        </w:rPr>
        <w:t>0.5万元</w:t>
      </w:r>
      <w:r>
        <w:rPr>
          <w:rFonts w:hint="eastAsia" w:ascii="宋体" w:hAnsi="宋体" w:eastAsia="宋体" w:cs="宋体"/>
          <w:color w:val="auto"/>
          <w:sz w:val="24"/>
          <w:szCs w:val="24"/>
          <w:highlight w:val="none"/>
          <w:lang w:val="en-US" w:eastAsia="zh-CN"/>
        </w:rPr>
        <w:t>，可采用转账、保函等方式缴纳，具体开具方法见投标人须知前附表。</w:t>
      </w:r>
    </w:p>
    <w:p w14:paraId="5FB3D40E">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10.投标保证金收款银行账户信息</w:t>
      </w:r>
    </w:p>
    <w:p w14:paraId="7C32A7E2">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转账形式的保证金请缴至以下账号：</w:t>
      </w:r>
    </w:p>
    <w:p w14:paraId="72B7CF8F">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户名：</w:t>
      </w:r>
      <w:r>
        <w:rPr>
          <w:rFonts w:hint="eastAsia" w:ascii="宋体" w:hAnsi="宋体" w:cs="仿宋_GB2312"/>
          <w:color w:val="auto"/>
          <w:kern w:val="0"/>
          <w:sz w:val="24"/>
          <w:highlight w:val="none"/>
        </w:rPr>
        <w:t>安徽同升工程管理咨询有限责任公司</w:t>
      </w:r>
    </w:p>
    <w:p w14:paraId="44E414F5">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账号：188705102487</w:t>
      </w:r>
    </w:p>
    <w:p w14:paraId="6286662F">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开户银行：中国银行铜陵分行营业部</w:t>
      </w:r>
    </w:p>
    <w:p w14:paraId="35ACCEBA">
      <w:pPr>
        <w:spacing w:line="360" w:lineRule="auto"/>
        <w:ind w:firstLine="550"/>
        <w:rPr>
          <w:rFonts w:hint="eastAsia" w:ascii="宋体" w:hAnsi="宋体"/>
          <w:color w:val="auto"/>
          <w:sz w:val="24"/>
          <w:szCs w:val="24"/>
          <w:highlight w:val="none"/>
        </w:rPr>
      </w:pPr>
    </w:p>
    <w:p w14:paraId="0D8B5B4F">
      <w:pPr>
        <w:spacing w:line="360" w:lineRule="auto"/>
        <w:ind w:firstLine="550"/>
        <w:rPr>
          <w:rFonts w:hint="eastAsia" w:ascii="宋体" w:hAnsi="宋体"/>
          <w:color w:val="auto"/>
          <w:sz w:val="24"/>
          <w:szCs w:val="24"/>
          <w:highlight w:val="none"/>
        </w:rPr>
      </w:pPr>
    </w:p>
    <w:p w14:paraId="675EC3A8">
      <w:pPr>
        <w:spacing w:line="360" w:lineRule="auto"/>
        <w:ind w:firstLine="550"/>
        <w:rPr>
          <w:rFonts w:hint="eastAsia" w:ascii="宋体" w:hAnsi="宋体"/>
          <w:color w:val="auto"/>
          <w:sz w:val="24"/>
          <w:szCs w:val="24"/>
          <w:highlight w:val="none"/>
        </w:rPr>
      </w:pPr>
    </w:p>
    <w:p w14:paraId="03AFBC14">
      <w:pPr>
        <w:spacing w:line="360" w:lineRule="auto"/>
        <w:ind w:firstLine="550"/>
        <w:rPr>
          <w:rFonts w:hint="eastAsia" w:ascii="宋体" w:hAnsi="宋体"/>
          <w:color w:val="auto"/>
          <w:sz w:val="24"/>
          <w:szCs w:val="24"/>
          <w:highlight w:val="none"/>
        </w:rPr>
      </w:pPr>
    </w:p>
    <w:p w14:paraId="1832F430">
      <w:pPr>
        <w:spacing w:line="360" w:lineRule="auto"/>
        <w:ind w:firstLine="550"/>
        <w:rPr>
          <w:rFonts w:hint="eastAsia" w:ascii="宋体" w:hAnsi="宋体"/>
          <w:color w:val="auto"/>
          <w:sz w:val="24"/>
          <w:szCs w:val="24"/>
          <w:highlight w:val="none"/>
        </w:rPr>
      </w:pPr>
    </w:p>
    <w:bookmarkEnd w:id="0"/>
    <w:bookmarkEnd w:id="2"/>
    <w:p w14:paraId="7E9F6ED3">
      <w:pPr>
        <w:jc w:val="center"/>
        <w:rPr>
          <w:rFonts w:ascii="宋体" w:hAnsi="宋体" w:cs="宋体"/>
          <w:b/>
          <w:color w:val="auto"/>
          <w:sz w:val="44"/>
          <w:szCs w:val="44"/>
          <w:highlight w:val="none"/>
        </w:rPr>
      </w:pPr>
    </w:p>
    <w:p w14:paraId="4E1FAE75">
      <w:pPr>
        <w:jc w:val="center"/>
        <w:rPr>
          <w:rFonts w:ascii="宋体" w:hAnsi="宋体" w:cs="宋体"/>
          <w:b/>
          <w:color w:val="auto"/>
          <w:sz w:val="44"/>
          <w:szCs w:val="44"/>
          <w:highlight w:val="none"/>
        </w:rPr>
      </w:pPr>
    </w:p>
    <w:p w14:paraId="2FFF3217">
      <w:pPr>
        <w:jc w:val="center"/>
        <w:rPr>
          <w:rFonts w:ascii="宋体" w:hAnsi="宋体" w:cs="宋体"/>
          <w:b/>
          <w:color w:val="auto"/>
          <w:sz w:val="44"/>
          <w:szCs w:val="44"/>
          <w:highlight w:val="none"/>
        </w:rPr>
      </w:pPr>
    </w:p>
    <w:p w14:paraId="1E3F08B9">
      <w:pPr>
        <w:pStyle w:val="59"/>
        <w:ind w:firstLine="883"/>
        <w:rPr>
          <w:rFonts w:ascii="宋体" w:hAnsi="宋体" w:cs="宋体"/>
          <w:b/>
          <w:color w:val="auto"/>
          <w:sz w:val="44"/>
          <w:szCs w:val="44"/>
          <w:highlight w:val="none"/>
        </w:rPr>
      </w:pPr>
    </w:p>
    <w:p w14:paraId="20E9B2ED">
      <w:pPr>
        <w:pStyle w:val="22"/>
        <w:ind w:firstLine="480"/>
        <w:rPr>
          <w:color w:val="auto"/>
          <w:highlight w:val="none"/>
        </w:rPr>
      </w:pPr>
    </w:p>
    <w:p w14:paraId="3E9C1CAC">
      <w:pPr>
        <w:pStyle w:val="22"/>
        <w:ind w:firstLine="480"/>
        <w:rPr>
          <w:color w:val="auto"/>
          <w:highlight w:val="none"/>
        </w:rPr>
      </w:pPr>
    </w:p>
    <w:p w14:paraId="679720A6">
      <w:pPr>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1819FC16">
      <w:pPr>
        <w:jc w:val="center"/>
        <w:rPr>
          <w:rFonts w:ascii="宋体" w:hAnsi="宋体" w:cs="宋体"/>
          <w:b/>
          <w:color w:val="auto"/>
          <w:sz w:val="30"/>
          <w:highlight w:val="none"/>
        </w:rPr>
      </w:pPr>
    </w:p>
    <w:p w14:paraId="05ADE650">
      <w:pPr>
        <w:spacing w:line="480" w:lineRule="auto"/>
        <w:ind w:firstLine="900" w:firstLineChars="300"/>
        <w:rPr>
          <w:rFonts w:ascii="宋体" w:hAnsi="宋体" w:cs="宋体"/>
          <w:color w:val="auto"/>
          <w:sz w:val="30"/>
          <w:szCs w:val="30"/>
          <w:highlight w:val="none"/>
        </w:rPr>
      </w:pPr>
    </w:p>
    <w:p w14:paraId="364B5FC5">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一、投标须知前附表</w:t>
      </w:r>
    </w:p>
    <w:p w14:paraId="4F1C1C6B">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二、工程综合说明</w:t>
      </w:r>
    </w:p>
    <w:p w14:paraId="147043B7">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三、投标须知</w:t>
      </w:r>
    </w:p>
    <w:p w14:paraId="56DEA801">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四、建设工程委托监理合同</w:t>
      </w:r>
    </w:p>
    <w:p w14:paraId="187F3443">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五、技术说明</w:t>
      </w:r>
    </w:p>
    <w:p w14:paraId="4B053D7C">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六、施工图纸及勘察资料</w:t>
      </w:r>
    </w:p>
    <w:p w14:paraId="562FDEAF">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七、投标文件格式</w:t>
      </w:r>
    </w:p>
    <w:p w14:paraId="63E90E94">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八、评标原则、方法和内容</w:t>
      </w:r>
    </w:p>
    <w:p w14:paraId="60ED9461">
      <w:pPr>
        <w:rPr>
          <w:rFonts w:ascii="宋体" w:hAnsi="宋体" w:cs="宋体"/>
          <w:color w:val="auto"/>
          <w:highlight w:val="none"/>
        </w:rPr>
      </w:pPr>
    </w:p>
    <w:p w14:paraId="2125240A">
      <w:pPr>
        <w:spacing w:line="400" w:lineRule="exact"/>
        <w:jc w:val="center"/>
        <w:rPr>
          <w:rFonts w:ascii="宋体" w:hAnsi="宋体" w:cs="宋体"/>
          <w:b/>
          <w:color w:val="auto"/>
          <w:sz w:val="30"/>
          <w:highlight w:val="none"/>
        </w:rPr>
      </w:pPr>
      <w:r>
        <w:rPr>
          <w:rFonts w:hint="eastAsia" w:ascii="宋体" w:hAnsi="宋体" w:cs="宋体"/>
          <w:b/>
          <w:color w:val="auto"/>
          <w:sz w:val="30"/>
          <w:highlight w:val="none"/>
        </w:rPr>
        <w:br w:type="page"/>
      </w:r>
      <w:r>
        <w:rPr>
          <w:rFonts w:hint="eastAsia" w:ascii="宋体" w:hAnsi="宋体" w:cs="宋体"/>
          <w:b/>
          <w:color w:val="auto"/>
          <w:sz w:val="32"/>
          <w:szCs w:val="32"/>
          <w:highlight w:val="none"/>
        </w:rPr>
        <w:t>第一部分</w:t>
      </w:r>
      <w:r>
        <w:rPr>
          <w:rFonts w:hint="eastAsia" w:ascii="宋体" w:hAnsi="宋体" w:cs="宋体"/>
          <w:b/>
          <w:color w:val="auto"/>
          <w:sz w:val="30"/>
          <w:highlight w:val="none"/>
        </w:rPr>
        <w:t>、投标须知前附表</w:t>
      </w:r>
    </w:p>
    <w:p w14:paraId="45254F9C">
      <w:pPr>
        <w:spacing w:line="400" w:lineRule="exact"/>
        <w:jc w:val="center"/>
        <w:rPr>
          <w:rFonts w:ascii="宋体" w:hAnsi="宋体" w:cs="宋体"/>
          <w:b/>
          <w:color w:val="auto"/>
          <w:sz w:val="30"/>
          <w:highlight w:val="none"/>
        </w:rPr>
      </w:pP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939"/>
        <w:gridCol w:w="6988"/>
      </w:tblGrid>
      <w:tr w14:paraId="558E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right"/>
        </w:trPr>
        <w:tc>
          <w:tcPr>
            <w:tcW w:w="511" w:type="dxa"/>
            <w:tcBorders>
              <w:top w:val="single" w:color="auto" w:sz="12" w:space="0"/>
              <w:left w:val="single" w:color="auto" w:sz="12" w:space="0"/>
              <w:bottom w:val="single" w:color="auto" w:sz="12" w:space="0"/>
            </w:tcBorders>
            <w:vAlign w:val="center"/>
          </w:tcPr>
          <w:p w14:paraId="4A5C5FB7">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39" w:type="dxa"/>
            <w:tcBorders>
              <w:top w:val="single" w:color="auto" w:sz="12" w:space="0"/>
              <w:bottom w:val="single" w:color="auto" w:sz="12" w:space="0"/>
            </w:tcBorders>
            <w:vAlign w:val="center"/>
          </w:tcPr>
          <w:p w14:paraId="2FB2A4A6">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项      目</w:t>
            </w:r>
          </w:p>
        </w:tc>
        <w:tc>
          <w:tcPr>
            <w:tcW w:w="6988" w:type="dxa"/>
            <w:tcBorders>
              <w:top w:val="single" w:color="auto" w:sz="12" w:space="0"/>
              <w:bottom w:val="single" w:color="auto" w:sz="12" w:space="0"/>
              <w:right w:val="single" w:color="auto" w:sz="12" w:space="0"/>
            </w:tcBorders>
            <w:vAlign w:val="center"/>
          </w:tcPr>
          <w:p w14:paraId="67F9C3C0">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内                容</w:t>
            </w:r>
          </w:p>
        </w:tc>
      </w:tr>
      <w:tr w14:paraId="3D2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right"/>
        </w:trPr>
        <w:tc>
          <w:tcPr>
            <w:tcW w:w="511" w:type="dxa"/>
            <w:tcBorders>
              <w:top w:val="single" w:color="auto" w:sz="12" w:space="0"/>
              <w:left w:val="single" w:color="auto" w:sz="12" w:space="0"/>
            </w:tcBorders>
            <w:vAlign w:val="center"/>
          </w:tcPr>
          <w:p w14:paraId="237C2813">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39" w:type="dxa"/>
            <w:tcBorders>
              <w:top w:val="single" w:color="auto" w:sz="12" w:space="0"/>
            </w:tcBorders>
            <w:vAlign w:val="center"/>
          </w:tcPr>
          <w:p w14:paraId="048A065A">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工程名称</w:t>
            </w:r>
          </w:p>
        </w:tc>
        <w:tc>
          <w:tcPr>
            <w:tcW w:w="6988" w:type="dxa"/>
            <w:tcBorders>
              <w:top w:val="single" w:color="auto" w:sz="12" w:space="0"/>
              <w:right w:val="single" w:color="auto" w:sz="12" w:space="0"/>
            </w:tcBorders>
            <w:vAlign w:val="center"/>
          </w:tcPr>
          <w:p w14:paraId="026CFB03">
            <w:pPr>
              <w:spacing w:line="380" w:lineRule="exact"/>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lang w:eastAsia="zh-CN"/>
              </w:rPr>
              <w:t>水木冲尾矿库闭库销号工程监理</w:t>
            </w:r>
          </w:p>
        </w:tc>
      </w:tr>
      <w:tr w14:paraId="338A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right"/>
        </w:trPr>
        <w:tc>
          <w:tcPr>
            <w:tcW w:w="511" w:type="dxa"/>
            <w:tcBorders>
              <w:left w:val="single" w:color="auto" w:sz="12" w:space="0"/>
            </w:tcBorders>
            <w:vAlign w:val="center"/>
          </w:tcPr>
          <w:p w14:paraId="44F3423F">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39" w:type="dxa"/>
            <w:vAlign w:val="center"/>
          </w:tcPr>
          <w:p w14:paraId="0E3C5AD9">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建设资金来源</w:t>
            </w:r>
          </w:p>
        </w:tc>
        <w:tc>
          <w:tcPr>
            <w:tcW w:w="6988" w:type="dxa"/>
            <w:tcBorders>
              <w:right w:val="single" w:color="auto" w:sz="12" w:space="0"/>
            </w:tcBorders>
            <w:vAlign w:val="center"/>
          </w:tcPr>
          <w:p w14:paraId="026C20B4">
            <w:pPr>
              <w:spacing w:line="3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对上争取及自筹</w:t>
            </w:r>
          </w:p>
        </w:tc>
      </w:tr>
      <w:tr w14:paraId="6979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right"/>
        </w:trPr>
        <w:tc>
          <w:tcPr>
            <w:tcW w:w="511" w:type="dxa"/>
            <w:tcBorders>
              <w:left w:val="single" w:color="auto" w:sz="12" w:space="0"/>
            </w:tcBorders>
            <w:vAlign w:val="center"/>
          </w:tcPr>
          <w:p w14:paraId="4BAE661B">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39" w:type="dxa"/>
            <w:vAlign w:val="center"/>
          </w:tcPr>
          <w:p w14:paraId="3C959025">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投标资格要求</w:t>
            </w:r>
          </w:p>
        </w:tc>
        <w:tc>
          <w:tcPr>
            <w:tcW w:w="6988" w:type="dxa"/>
            <w:tcBorders>
              <w:right w:val="single" w:color="auto" w:sz="12" w:space="0"/>
            </w:tcBorders>
            <w:vAlign w:val="center"/>
          </w:tcPr>
          <w:p w14:paraId="5921CC2E">
            <w:pPr>
              <w:spacing w:line="400" w:lineRule="exact"/>
              <w:rPr>
                <w:rFonts w:ascii="宋体" w:hAnsi="宋体" w:cs="宋体"/>
                <w:color w:val="auto"/>
                <w:sz w:val="24"/>
                <w:highlight w:val="none"/>
              </w:rPr>
            </w:pPr>
            <w:r>
              <w:rPr>
                <w:rFonts w:hint="eastAsia" w:ascii="宋体" w:hAnsi="宋体"/>
                <w:color w:val="auto"/>
                <w:sz w:val="24"/>
                <w:szCs w:val="24"/>
                <w:highlight w:val="none"/>
              </w:rPr>
              <w:t>详见“招标公告”</w:t>
            </w:r>
          </w:p>
        </w:tc>
      </w:tr>
      <w:tr w14:paraId="611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right"/>
        </w:trPr>
        <w:tc>
          <w:tcPr>
            <w:tcW w:w="511" w:type="dxa"/>
            <w:tcBorders>
              <w:left w:val="single" w:color="auto" w:sz="12" w:space="0"/>
            </w:tcBorders>
          </w:tcPr>
          <w:p w14:paraId="2FCFB77F">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39" w:type="dxa"/>
            <w:vAlign w:val="center"/>
          </w:tcPr>
          <w:p w14:paraId="584B4E8D">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监理业绩要求</w:t>
            </w:r>
          </w:p>
        </w:tc>
        <w:tc>
          <w:tcPr>
            <w:tcW w:w="6988" w:type="dxa"/>
            <w:tcBorders>
              <w:right w:val="single" w:color="auto" w:sz="12" w:space="0"/>
            </w:tcBorders>
            <w:vAlign w:val="center"/>
          </w:tcPr>
          <w:p w14:paraId="2F4E9DA0">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无</w:t>
            </w:r>
          </w:p>
        </w:tc>
      </w:tr>
      <w:tr w14:paraId="7380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right"/>
        </w:trPr>
        <w:tc>
          <w:tcPr>
            <w:tcW w:w="511" w:type="dxa"/>
            <w:tcBorders>
              <w:left w:val="single" w:color="auto" w:sz="12" w:space="0"/>
            </w:tcBorders>
            <w:vAlign w:val="center"/>
          </w:tcPr>
          <w:p w14:paraId="5DAEDA44">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939" w:type="dxa"/>
            <w:vAlign w:val="center"/>
          </w:tcPr>
          <w:p w14:paraId="79CE127E">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监理服务期</w:t>
            </w:r>
          </w:p>
        </w:tc>
        <w:tc>
          <w:tcPr>
            <w:tcW w:w="6988" w:type="dxa"/>
            <w:tcBorders>
              <w:right w:val="single" w:color="auto" w:sz="12" w:space="0"/>
            </w:tcBorders>
            <w:vAlign w:val="center"/>
          </w:tcPr>
          <w:p w14:paraId="46940C21">
            <w:pPr>
              <w:spacing w:line="380" w:lineRule="exact"/>
              <w:rPr>
                <w:rFonts w:ascii="宋体" w:hAnsi="宋体"/>
                <w:color w:val="auto"/>
                <w:sz w:val="24"/>
                <w:szCs w:val="24"/>
                <w:highlight w:val="none"/>
              </w:rPr>
            </w:pPr>
            <w:r>
              <w:rPr>
                <w:rFonts w:hint="eastAsia" w:ascii="宋体" w:hAnsi="宋体"/>
                <w:color w:val="auto"/>
                <w:sz w:val="24"/>
                <w:szCs w:val="24"/>
                <w:highlight w:val="none"/>
              </w:rPr>
              <w:t>工程施工准备阶段至工程竣工备案、后期结算审计结束及</w:t>
            </w:r>
            <w:r>
              <w:rPr>
                <w:rFonts w:hint="eastAsia" w:ascii="宋体" w:hAnsi="宋体"/>
                <w:color w:val="auto"/>
                <w:sz w:val="24"/>
                <w:szCs w:val="24"/>
                <w:highlight w:val="none"/>
                <w:lang w:eastAsia="zh-CN"/>
              </w:rPr>
              <w:t>缺陷责任</w:t>
            </w:r>
            <w:r>
              <w:rPr>
                <w:rFonts w:hint="eastAsia" w:ascii="宋体" w:hAnsi="宋体"/>
                <w:color w:val="auto"/>
                <w:sz w:val="24"/>
                <w:szCs w:val="24"/>
                <w:highlight w:val="none"/>
              </w:rPr>
              <w:t>期满。</w:t>
            </w:r>
          </w:p>
        </w:tc>
      </w:tr>
      <w:tr w14:paraId="25B0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right"/>
        </w:trPr>
        <w:tc>
          <w:tcPr>
            <w:tcW w:w="511" w:type="dxa"/>
            <w:tcBorders>
              <w:left w:val="single" w:color="auto" w:sz="12" w:space="0"/>
            </w:tcBorders>
            <w:shd w:val="clear" w:color="auto" w:fill="auto"/>
            <w:vAlign w:val="center"/>
          </w:tcPr>
          <w:p w14:paraId="339AC4E4">
            <w:pPr>
              <w:spacing w:line="380" w:lineRule="exact"/>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6</w:t>
            </w:r>
          </w:p>
        </w:tc>
        <w:tc>
          <w:tcPr>
            <w:tcW w:w="1939" w:type="dxa"/>
            <w:vAlign w:val="center"/>
          </w:tcPr>
          <w:p w14:paraId="295700AA">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服务标准</w:t>
            </w:r>
          </w:p>
        </w:tc>
        <w:tc>
          <w:tcPr>
            <w:tcW w:w="6988" w:type="dxa"/>
            <w:tcBorders>
              <w:right w:val="single" w:color="auto" w:sz="12" w:space="0"/>
            </w:tcBorders>
            <w:vAlign w:val="center"/>
          </w:tcPr>
          <w:p w14:paraId="64CD09AB">
            <w:pPr>
              <w:spacing w:line="380" w:lineRule="exact"/>
              <w:rPr>
                <w:rFonts w:hint="eastAsia" w:ascii="宋体" w:hAnsi="宋体"/>
                <w:color w:val="auto"/>
                <w:sz w:val="24"/>
                <w:szCs w:val="24"/>
                <w:highlight w:val="none"/>
              </w:rPr>
            </w:pPr>
            <w:r>
              <w:rPr>
                <w:rFonts w:hint="eastAsia" w:ascii="宋体" w:hAnsi="宋体"/>
                <w:color w:val="auto"/>
                <w:sz w:val="24"/>
                <w:szCs w:val="24"/>
                <w:highlight w:val="none"/>
                <w:lang w:val="en-US" w:eastAsia="zh-CN"/>
              </w:rPr>
              <w:t>符合国家现行的技术标准、规范、规程及《安全生产法》、《矿山安全法》、《尾矿库闭库安全技术规程》（AQ 2006-2005）、《尾矿库安全技术规程》、《尾矿设施施工及验收规范》、《建设工程监理规范》以及施工图纸等相关文件要求。</w:t>
            </w:r>
          </w:p>
        </w:tc>
      </w:tr>
      <w:tr w14:paraId="1769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right"/>
        </w:trPr>
        <w:tc>
          <w:tcPr>
            <w:tcW w:w="511" w:type="dxa"/>
            <w:tcBorders>
              <w:left w:val="single" w:color="auto" w:sz="12" w:space="0"/>
            </w:tcBorders>
            <w:shd w:val="clear" w:color="auto" w:fill="auto"/>
            <w:vAlign w:val="center"/>
          </w:tcPr>
          <w:p w14:paraId="7374AC76">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7</w:t>
            </w:r>
          </w:p>
        </w:tc>
        <w:tc>
          <w:tcPr>
            <w:tcW w:w="1939" w:type="dxa"/>
            <w:vAlign w:val="center"/>
          </w:tcPr>
          <w:p w14:paraId="73FB4D7D">
            <w:pPr>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w:t>
            </w:r>
          </w:p>
        </w:tc>
        <w:tc>
          <w:tcPr>
            <w:tcW w:w="6988" w:type="dxa"/>
            <w:tcBorders>
              <w:right w:val="single" w:color="auto" w:sz="12" w:space="0"/>
            </w:tcBorders>
            <w:vAlign w:val="center"/>
          </w:tcPr>
          <w:p w14:paraId="787F626D">
            <w:pPr>
              <w:spacing w:line="38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一份正本，一份副本以及完整版本的加盖公章(或电子章)PDF版本电子投标文件(u盘单独封装</w:t>
            </w:r>
            <w:r>
              <w:rPr>
                <w:rFonts w:hint="eastAsia" w:ascii="宋体" w:hAnsi="宋体"/>
                <w:b/>
                <w:bCs/>
                <w:color w:val="auto"/>
                <w:sz w:val="24"/>
                <w:szCs w:val="24"/>
                <w:highlight w:val="none"/>
                <w:lang w:val="en-US" w:eastAsia="zh-CN"/>
              </w:rPr>
              <w:t>或封装在一起</w:t>
            </w:r>
            <w:r>
              <w:rPr>
                <w:rFonts w:hint="eastAsia" w:ascii="宋体" w:hAnsi="宋体"/>
                <w:b/>
                <w:bCs/>
                <w:color w:val="auto"/>
                <w:sz w:val="24"/>
                <w:szCs w:val="24"/>
                <w:highlight w:val="none"/>
              </w:rPr>
              <w:t>)，内容须和纸质投标文件保持一致；另中标单位在领取中标通知书时再提供纸质原样投标文件</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份。)</w:t>
            </w:r>
          </w:p>
          <w:p w14:paraId="51B58980">
            <w:pPr>
              <w:spacing w:line="380" w:lineRule="exact"/>
              <w:rPr>
                <w:rFonts w:ascii="宋体" w:hAnsi="宋体"/>
                <w:color w:val="auto"/>
                <w:szCs w:val="21"/>
                <w:highlight w:val="none"/>
              </w:rPr>
            </w:pPr>
            <w:r>
              <w:rPr>
                <w:rFonts w:hint="eastAsia" w:ascii="宋体" w:hAnsi="宋体"/>
                <w:color w:val="auto"/>
                <w:sz w:val="24"/>
                <w:szCs w:val="24"/>
                <w:highlight w:val="none"/>
              </w:rPr>
              <w:t>注：电子投标文件必须和纸质投标文件保持一致，若因电子投标文件与纸质投标文件不一致而产生的一切后果，由投标人自行承担。</w:t>
            </w:r>
          </w:p>
        </w:tc>
      </w:tr>
      <w:tr w14:paraId="5223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right"/>
        </w:trPr>
        <w:tc>
          <w:tcPr>
            <w:tcW w:w="511" w:type="dxa"/>
            <w:tcBorders>
              <w:top w:val="single" w:color="auto" w:sz="8" w:space="0"/>
              <w:left w:val="single" w:color="auto" w:sz="12" w:space="0"/>
            </w:tcBorders>
            <w:shd w:val="clear" w:color="auto" w:fill="auto"/>
            <w:vAlign w:val="top"/>
          </w:tcPr>
          <w:p w14:paraId="63AC4A85">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8</w:t>
            </w:r>
          </w:p>
        </w:tc>
        <w:tc>
          <w:tcPr>
            <w:tcW w:w="1939" w:type="dxa"/>
            <w:tcBorders>
              <w:top w:val="single" w:color="auto" w:sz="8" w:space="0"/>
            </w:tcBorders>
            <w:vAlign w:val="center"/>
          </w:tcPr>
          <w:p w14:paraId="6FE3A670">
            <w:pPr>
              <w:pStyle w:val="65"/>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jc w:val="center"/>
              <w:textAlignment w:val="auto"/>
              <w:rPr>
                <w:rFonts w:ascii="宋体" w:hAnsi="宋体" w:cs="宋体"/>
                <w:color w:val="auto"/>
                <w:sz w:val="24"/>
                <w:highlight w:val="none"/>
              </w:rPr>
            </w:pPr>
            <w:r>
              <w:rPr>
                <w:rStyle w:val="26"/>
                <w:rFonts w:hint="eastAsia" w:ascii="宋体" w:hAnsi="宋体" w:eastAsia="宋体" w:cs="宋体"/>
                <w:b w:val="0"/>
                <w:color w:val="auto"/>
                <w:sz w:val="24"/>
                <w:szCs w:val="24"/>
                <w:highlight w:val="none"/>
              </w:rPr>
              <w:t>投标保证金</w:t>
            </w:r>
          </w:p>
        </w:tc>
        <w:tc>
          <w:tcPr>
            <w:tcW w:w="6988" w:type="dxa"/>
            <w:tcBorders>
              <w:top w:val="single" w:color="auto" w:sz="8" w:space="0"/>
              <w:right w:val="single" w:color="auto" w:sz="12" w:space="0"/>
            </w:tcBorders>
            <w:vAlign w:val="top"/>
          </w:tcPr>
          <w:p w14:paraId="18DDE999">
            <w:pPr>
              <w:shd w:val="clear" w:color="auto" w:fill="auto"/>
              <w:adjustRightInd w:val="0"/>
              <w:snapToGrid w:val="0"/>
              <w:spacing w:line="360" w:lineRule="auto"/>
              <w:jc w:val="left"/>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本项目是否要求投标人提交</w:t>
            </w:r>
            <w:r>
              <w:rPr>
                <w:rFonts w:hint="eastAsia" w:ascii="宋体" w:hAnsi="宋体" w:eastAsia="宋体" w:cs="宋体"/>
                <w:b/>
                <w:snapToGrid w:val="0"/>
                <w:color w:val="auto"/>
                <w:sz w:val="24"/>
                <w:szCs w:val="24"/>
                <w:highlight w:val="none"/>
              </w:rPr>
              <w:t>投标保证金：</w:t>
            </w:r>
          </w:p>
          <w:p w14:paraId="5F97F590">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lang w:val="en-US" w:eastAsia="zh-CN"/>
              </w:rPr>
              <w:t>不要求</w:t>
            </w:r>
          </w:p>
          <w:p w14:paraId="46879353">
            <w:pPr>
              <w:shd w:val="clear" w:color="auto" w:fill="auto"/>
              <w:adjustRightInd w:val="0"/>
              <w:snapToGrid w:val="0"/>
              <w:spacing w:line="360" w:lineRule="auto"/>
              <w:ind w:firstLine="480" w:firstLineChars="200"/>
              <w:jc w:val="left"/>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lang w:val="en-US" w:eastAsia="zh-CN"/>
              </w:rPr>
              <w:t>要求，投标保证金金额：</w:t>
            </w:r>
            <w:r>
              <w:rPr>
                <w:rFonts w:hint="eastAsia" w:ascii="宋体" w:hAnsi="宋体" w:eastAsia="宋体" w:cs="宋体"/>
                <w:b/>
                <w:bCs w:val="0"/>
                <w:snapToGrid w:val="0"/>
                <w:color w:val="auto"/>
                <w:sz w:val="24"/>
                <w:szCs w:val="24"/>
                <w:highlight w:val="none"/>
              </w:rPr>
              <w:t>人民币</w:t>
            </w:r>
            <w:r>
              <w:rPr>
                <w:rFonts w:hint="eastAsia" w:ascii="宋体" w:hAnsi="宋体" w:cs="宋体"/>
                <w:b/>
                <w:bCs w:val="0"/>
                <w:snapToGrid w:val="0"/>
                <w:color w:val="auto"/>
                <w:sz w:val="24"/>
                <w:szCs w:val="24"/>
                <w:highlight w:val="none"/>
                <w:u w:val="single"/>
                <w:lang w:val="en-US" w:eastAsia="zh-CN"/>
              </w:rPr>
              <w:t>0.5万元</w:t>
            </w:r>
            <w:r>
              <w:rPr>
                <w:rFonts w:hint="eastAsia" w:ascii="宋体" w:hAnsi="宋体" w:eastAsia="宋体" w:cs="宋体"/>
                <w:bCs/>
                <w:snapToGrid w:val="0"/>
                <w:color w:val="auto"/>
                <w:sz w:val="24"/>
                <w:szCs w:val="24"/>
                <w:highlight w:val="none"/>
              </w:rPr>
              <w:t>。</w:t>
            </w:r>
          </w:p>
          <w:p w14:paraId="6CEB1BF6">
            <w:pPr>
              <w:shd w:val="clear" w:color="auto" w:fill="auto"/>
              <w:adjustRightInd w:val="0"/>
              <w:snapToGrid w:val="0"/>
              <w:spacing w:line="360" w:lineRule="auto"/>
              <w:jc w:val="left"/>
              <w:rPr>
                <w:rFonts w:hint="eastAsia" w:ascii="宋体" w:hAnsi="宋体" w:eastAsia="宋体" w:cs="宋体"/>
                <w:bCs/>
                <w:snapToGrid w:val="0"/>
                <w:color w:val="auto"/>
                <w:sz w:val="24"/>
                <w:szCs w:val="24"/>
                <w:highlight w:val="none"/>
              </w:rPr>
            </w:pPr>
            <w:r>
              <w:rPr>
                <w:rFonts w:hint="eastAsia" w:ascii="宋体" w:hAnsi="宋体" w:eastAsia="宋体" w:cs="宋体"/>
                <w:b/>
                <w:snapToGrid w:val="0"/>
                <w:color w:val="auto"/>
                <w:sz w:val="24"/>
                <w:szCs w:val="24"/>
                <w:highlight w:val="none"/>
              </w:rPr>
              <w:t>投标保证金递交形式，以下形式中的任意一种均可，但不得采用两种（含两种）以上形式：</w:t>
            </w:r>
          </w:p>
          <w:p w14:paraId="0A19836B">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 xml:space="preserve">第一类：银行转账、银行电汇  </w:t>
            </w:r>
          </w:p>
          <w:p w14:paraId="0B8FCCEF">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第二类：</w:t>
            </w:r>
            <w:r>
              <w:rPr>
                <w:rFonts w:hint="eastAsia" w:ascii="宋体" w:hAnsi="宋体" w:eastAsia="宋体" w:cs="宋体"/>
                <w:bCs/>
                <w:snapToGrid w:val="0"/>
                <w:color w:val="auto"/>
                <w:sz w:val="24"/>
                <w:szCs w:val="24"/>
                <w:highlight w:val="none"/>
                <w:lang w:val="en-US" w:eastAsia="zh-CN"/>
              </w:rPr>
              <w:t>纸质</w:t>
            </w:r>
            <w:r>
              <w:rPr>
                <w:rFonts w:hint="eastAsia" w:ascii="宋体" w:hAnsi="宋体" w:eastAsia="宋体" w:cs="宋体"/>
                <w:bCs/>
                <w:snapToGrid w:val="0"/>
                <w:color w:val="auto"/>
                <w:sz w:val="24"/>
                <w:szCs w:val="24"/>
                <w:highlight w:val="none"/>
              </w:rPr>
              <w:t>银行保函</w:t>
            </w:r>
          </w:p>
          <w:p w14:paraId="2ACFB768">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第三类：</w:t>
            </w:r>
            <w:r>
              <w:rPr>
                <w:rFonts w:hint="eastAsia" w:ascii="宋体" w:hAnsi="宋体" w:eastAsia="宋体" w:cs="宋体"/>
                <w:bCs/>
                <w:snapToGrid w:val="0"/>
                <w:color w:val="auto"/>
                <w:sz w:val="24"/>
                <w:szCs w:val="24"/>
                <w:highlight w:val="none"/>
                <w:lang w:val="en-US" w:eastAsia="zh-CN"/>
              </w:rPr>
              <w:t>纸质</w:t>
            </w:r>
            <w:r>
              <w:rPr>
                <w:rFonts w:hint="eastAsia" w:ascii="宋体" w:hAnsi="宋体" w:eastAsia="宋体" w:cs="宋体"/>
                <w:bCs/>
                <w:snapToGrid w:val="0"/>
                <w:color w:val="auto"/>
                <w:sz w:val="24"/>
                <w:szCs w:val="24"/>
                <w:highlight w:val="none"/>
              </w:rPr>
              <w:t>保证保险</w:t>
            </w:r>
          </w:p>
          <w:p w14:paraId="19796BF9">
            <w:pPr>
              <w:shd w:val="clear" w:color="auto" w:fill="auto"/>
              <w:adjustRightInd w:val="0"/>
              <w:snapToGrid w:val="0"/>
              <w:spacing w:line="360" w:lineRule="auto"/>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投标保证金递交要求：</w:t>
            </w:r>
          </w:p>
          <w:p w14:paraId="147F6C4C">
            <w:pPr>
              <w:shd w:val="clear" w:color="auto" w:fill="auto"/>
              <w:adjustRightInd w:val="0"/>
              <w:snapToGrid w:val="0"/>
              <w:spacing w:line="360" w:lineRule="auto"/>
              <w:ind w:firstLine="480" w:firstLineChars="200"/>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（1）如采用第一类形式：</w:t>
            </w:r>
          </w:p>
          <w:p w14:paraId="61DFF256">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①投标保证金的到账截止时间：投标截止时间。</w:t>
            </w:r>
          </w:p>
          <w:p w14:paraId="767D61D1">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②投标保证金应当从投标人账户转出，转出保证金的账户与投标人</w:t>
            </w:r>
            <w:r>
              <w:rPr>
                <w:rFonts w:hint="eastAsia" w:ascii="宋体" w:hAnsi="宋体" w:eastAsia="宋体" w:cs="宋体"/>
                <w:bCs/>
                <w:snapToGrid w:val="0"/>
                <w:color w:val="auto"/>
                <w:sz w:val="24"/>
                <w:szCs w:val="24"/>
                <w:highlight w:val="none"/>
                <w:lang w:val="en-US" w:eastAsia="zh-CN"/>
              </w:rPr>
              <w:t>名称</w:t>
            </w:r>
            <w:r>
              <w:rPr>
                <w:rFonts w:hint="eastAsia" w:ascii="宋体" w:hAnsi="宋体" w:eastAsia="宋体" w:cs="宋体"/>
                <w:bCs/>
                <w:snapToGrid w:val="0"/>
                <w:color w:val="auto"/>
                <w:sz w:val="24"/>
                <w:szCs w:val="24"/>
                <w:highlight w:val="none"/>
              </w:rPr>
              <w:t>不一致的，视为未按招标文件规定要求递交投标保证金。</w:t>
            </w:r>
          </w:p>
          <w:p w14:paraId="58529ABE">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③转入的开户银行及账号见本项目招标公告所示</w:t>
            </w:r>
          </w:p>
          <w:p w14:paraId="7D46D7B6">
            <w:pPr>
              <w:shd w:val="clear" w:color="auto" w:fill="auto"/>
              <w:adjustRightInd w:val="0"/>
              <w:snapToGrid w:val="0"/>
              <w:spacing w:line="360" w:lineRule="auto"/>
              <w:ind w:firstLine="480" w:firstLineChars="200"/>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（2）如采用第二类形式：</w:t>
            </w:r>
          </w:p>
          <w:p w14:paraId="202194F3">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lang w:val="en-US" w:eastAsia="zh-CN"/>
              </w:rPr>
              <w:t>采用纸质银行保函的，应为投标人基本账户开户行出具的见索即付无条件见索即付银行保函，</w:t>
            </w:r>
            <w:r>
              <w:rPr>
                <w:rFonts w:hint="eastAsia" w:ascii="宋体" w:hAnsi="宋体" w:eastAsia="宋体" w:cs="宋体"/>
                <w:bCs/>
                <w:snapToGrid w:val="0"/>
                <w:color w:val="auto"/>
                <w:sz w:val="24"/>
                <w:szCs w:val="24"/>
                <w:highlight w:val="none"/>
                <w:lang w:eastAsia="zh-CN"/>
              </w:rPr>
              <w:t>投标人在投标文件中必须提供“基本账户开户许可证”</w:t>
            </w:r>
            <w:r>
              <w:rPr>
                <w:rFonts w:hint="eastAsia" w:ascii="宋体" w:hAnsi="宋体" w:eastAsia="宋体" w:cs="宋体"/>
                <w:bCs/>
                <w:snapToGrid w:val="0"/>
                <w:color w:val="auto"/>
                <w:sz w:val="24"/>
                <w:szCs w:val="24"/>
                <w:highlight w:val="none"/>
                <w:lang w:val="en-US" w:eastAsia="zh-CN"/>
              </w:rPr>
              <w:t>复印件</w:t>
            </w:r>
            <w:r>
              <w:rPr>
                <w:rFonts w:hint="eastAsia" w:ascii="宋体" w:hAnsi="宋体" w:eastAsia="宋体" w:cs="宋体"/>
                <w:bCs/>
                <w:snapToGrid w:val="0"/>
                <w:color w:val="auto"/>
                <w:sz w:val="24"/>
                <w:szCs w:val="24"/>
                <w:highlight w:val="none"/>
                <w:lang w:eastAsia="zh-CN"/>
              </w:rPr>
              <w:t>（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p w14:paraId="3B181E1F">
            <w:pPr>
              <w:shd w:val="clear" w:color="auto" w:fill="auto"/>
              <w:adjustRightInd w:val="0"/>
              <w:snapToGrid w:val="0"/>
              <w:spacing w:line="360" w:lineRule="auto"/>
              <w:ind w:firstLine="480" w:firstLineChars="200"/>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w:t>
            </w:r>
            <w:r>
              <w:rPr>
                <w:rFonts w:hint="eastAsia" w:ascii="宋体" w:hAnsi="宋体" w:eastAsia="宋体" w:cs="宋体"/>
                <w:b/>
                <w:bCs w:val="0"/>
                <w:snapToGrid w:val="0"/>
                <w:color w:val="auto"/>
                <w:sz w:val="24"/>
                <w:szCs w:val="24"/>
                <w:highlight w:val="none"/>
                <w:lang w:val="en-US" w:eastAsia="zh-CN"/>
              </w:rPr>
              <w:t>3</w:t>
            </w:r>
            <w:r>
              <w:rPr>
                <w:rFonts w:hint="eastAsia" w:ascii="宋体" w:hAnsi="宋体" w:eastAsia="宋体" w:cs="宋体"/>
                <w:b/>
                <w:bCs w:val="0"/>
                <w:snapToGrid w:val="0"/>
                <w:color w:val="auto"/>
                <w:sz w:val="24"/>
                <w:szCs w:val="24"/>
                <w:highlight w:val="none"/>
              </w:rPr>
              <w:t>）如采用第</w:t>
            </w:r>
            <w:r>
              <w:rPr>
                <w:rFonts w:hint="eastAsia" w:ascii="宋体" w:hAnsi="宋体" w:eastAsia="宋体" w:cs="宋体"/>
                <w:b/>
                <w:bCs w:val="0"/>
                <w:snapToGrid w:val="0"/>
                <w:color w:val="auto"/>
                <w:sz w:val="24"/>
                <w:szCs w:val="24"/>
                <w:highlight w:val="none"/>
                <w:lang w:val="en-US" w:eastAsia="zh-CN"/>
              </w:rPr>
              <w:t>三</w:t>
            </w:r>
            <w:r>
              <w:rPr>
                <w:rFonts w:hint="eastAsia" w:ascii="宋体" w:hAnsi="宋体" w:eastAsia="宋体" w:cs="宋体"/>
                <w:b/>
                <w:bCs w:val="0"/>
                <w:snapToGrid w:val="0"/>
                <w:color w:val="auto"/>
                <w:sz w:val="24"/>
                <w:szCs w:val="24"/>
                <w:highlight w:val="none"/>
              </w:rPr>
              <w:t>类形式：</w:t>
            </w:r>
          </w:p>
          <w:p w14:paraId="3BA32CA2">
            <w:pPr>
              <w:shd w:val="clear" w:color="auto" w:fill="auto"/>
              <w:adjustRightInd w:val="0"/>
              <w:snapToGrid w:val="0"/>
              <w:spacing w:line="360" w:lineRule="auto"/>
              <w:ind w:firstLine="480"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bCs/>
                <w:snapToGrid w:val="0"/>
                <w:color w:val="auto"/>
                <w:sz w:val="24"/>
                <w:szCs w:val="24"/>
                <w:highlight w:val="none"/>
                <w:lang w:val="en-US" w:eastAsia="zh-CN"/>
              </w:rPr>
              <w:t>采用纸质保函保险的，保函保险等费用应使用投标人基本账户支付。转出（支付）账户与投标人提供的投标文件不一致的，视为未按招标文件规定要求递交投标保证金。投标人在投标文件中必须提供纸质保函保险、保函保险等费用支付记录证明资料和“基本账户开户</w:t>
            </w:r>
            <w:r>
              <w:rPr>
                <w:rFonts w:hint="eastAsia" w:ascii="宋体" w:hAnsi="宋体" w:eastAsia="宋体" w:cs="宋体"/>
                <w:b w:val="0"/>
                <w:bCs/>
                <w:color w:val="auto"/>
                <w:sz w:val="24"/>
                <w:szCs w:val="24"/>
                <w:highlight w:val="none"/>
                <w:lang w:val="en-US" w:eastAsia="zh-CN"/>
              </w:rPr>
              <w:t>许可证”扫描件（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tc>
      </w:tr>
      <w:tr w14:paraId="5AE2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right"/>
        </w:trPr>
        <w:tc>
          <w:tcPr>
            <w:tcW w:w="511" w:type="dxa"/>
            <w:tcBorders>
              <w:left w:val="single" w:color="auto" w:sz="12" w:space="0"/>
            </w:tcBorders>
            <w:shd w:val="clear" w:color="auto" w:fill="auto"/>
            <w:vAlign w:val="top"/>
          </w:tcPr>
          <w:p w14:paraId="33109332">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9</w:t>
            </w:r>
          </w:p>
        </w:tc>
        <w:tc>
          <w:tcPr>
            <w:tcW w:w="1939" w:type="dxa"/>
            <w:vAlign w:val="center"/>
          </w:tcPr>
          <w:p w14:paraId="4874B58B">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6988" w:type="dxa"/>
            <w:tcBorders>
              <w:right w:val="single" w:color="auto" w:sz="12" w:space="0"/>
            </w:tcBorders>
            <w:vAlign w:val="center"/>
          </w:tcPr>
          <w:p w14:paraId="77D1CE15">
            <w:pPr>
              <w:spacing w:line="380" w:lineRule="exact"/>
              <w:jc w:val="left"/>
              <w:rPr>
                <w:rFonts w:ascii="宋体" w:hAnsi="宋体"/>
                <w:color w:val="auto"/>
                <w:sz w:val="24"/>
                <w:szCs w:val="24"/>
                <w:highlight w:val="none"/>
              </w:rPr>
            </w:pPr>
            <w:r>
              <w:rPr>
                <w:rFonts w:hint="eastAsia" w:ascii="宋体" w:hAnsi="宋体"/>
                <w:color w:val="auto"/>
                <w:sz w:val="24"/>
                <w:szCs w:val="24"/>
                <w:highlight w:val="none"/>
              </w:rPr>
              <w:t>中标人提供的履约保证金为合同价款的2%，保证金形式可以为转账、银行保函、保证保险三种形式的任意一种</w:t>
            </w:r>
            <w:r>
              <w:rPr>
                <w:rFonts w:hint="eastAsia" w:ascii="宋体" w:hAnsi="宋体" w:cs="宋体"/>
                <w:bCs/>
                <w:color w:val="auto"/>
                <w:sz w:val="24"/>
                <w:highlight w:val="none"/>
              </w:rPr>
              <w:t>。</w:t>
            </w:r>
          </w:p>
        </w:tc>
      </w:tr>
      <w:tr w14:paraId="4802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right"/>
        </w:trPr>
        <w:tc>
          <w:tcPr>
            <w:tcW w:w="511" w:type="dxa"/>
            <w:tcBorders>
              <w:left w:val="single" w:color="auto" w:sz="12" w:space="0"/>
            </w:tcBorders>
            <w:shd w:val="clear" w:color="auto" w:fill="auto"/>
            <w:vAlign w:val="center"/>
          </w:tcPr>
          <w:p w14:paraId="015DE87E">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10</w:t>
            </w:r>
          </w:p>
        </w:tc>
        <w:tc>
          <w:tcPr>
            <w:tcW w:w="1939" w:type="dxa"/>
          </w:tcPr>
          <w:p w14:paraId="2F0A65D5">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988" w:type="dxa"/>
            <w:tcBorders>
              <w:right w:val="single" w:color="auto" w:sz="12" w:space="0"/>
            </w:tcBorders>
            <w:vAlign w:val="center"/>
          </w:tcPr>
          <w:p w14:paraId="72328596">
            <w:pPr>
              <w:spacing w:line="380" w:lineRule="exact"/>
              <w:rPr>
                <w:rFonts w:ascii="宋体" w:hAnsi="宋体"/>
                <w:color w:val="auto"/>
                <w:sz w:val="24"/>
                <w:szCs w:val="24"/>
                <w:highlight w:val="none"/>
              </w:rPr>
            </w:pPr>
            <w:r>
              <w:rPr>
                <w:rFonts w:hint="eastAsia" w:ascii="宋体" w:hAnsi="宋体"/>
                <w:color w:val="auto"/>
                <w:sz w:val="24"/>
                <w:szCs w:val="24"/>
                <w:highlight w:val="none"/>
              </w:rPr>
              <w:t>投标书递交后</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0天内有效</w:t>
            </w:r>
          </w:p>
        </w:tc>
      </w:tr>
      <w:tr w14:paraId="19BF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right"/>
        </w:trPr>
        <w:tc>
          <w:tcPr>
            <w:tcW w:w="511" w:type="dxa"/>
            <w:tcBorders>
              <w:left w:val="single" w:color="auto" w:sz="12" w:space="0"/>
            </w:tcBorders>
            <w:shd w:val="clear" w:color="auto" w:fill="auto"/>
            <w:vAlign w:val="top"/>
          </w:tcPr>
          <w:p w14:paraId="54DD7B22">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11</w:t>
            </w:r>
          </w:p>
        </w:tc>
        <w:tc>
          <w:tcPr>
            <w:tcW w:w="1939" w:type="dxa"/>
            <w:vAlign w:val="center"/>
          </w:tcPr>
          <w:p w14:paraId="31DB60FB">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投标文件提交地点及截止时间</w:t>
            </w:r>
          </w:p>
        </w:tc>
        <w:tc>
          <w:tcPr>
            <w:tcW w:w="6988" w:type="dxa"/>
            <w:tcBorders>
              <w:right w:val="single" w:color="auto" w:sz="12" w:space="0"/>
            </w:tcBorders>
            <w:vAlign w:val="center"/>
          </w:tcPr>
          <w:p w14:paraId="64FAE24A">
            <w:pPr>
              <w:adjustRightInd w:val="0"/>
              <w:snapToGrid w:val="0"/>
              <w:spacing w:beforeLines="20" w:afterLines="20"/>
              <w:ind w:left="-92" w:leftChars="-44" w:firstLine="9" w:firstLineChars="4"/>
              <w:rPr>
                <w:rFonts w:ascii="宋体" w:hAnsi="宋体" w:cs="宋体"/>
                <w:color w:val="auto"/>
                <w:sz w:val="24"/>
                <w:highlight w:val="none"/>
              </w:rPr>
            </w:pPr>
            <w:r>
              <w:rPr>
                <w:rFonts w:hint="eastAsia" w:ascii="宋体" w:hAnsi="宋体" w:cs="宋体"/>
                <w:color w:val="auto"/>
                <w:sz w:val="24"/>
                <w:highlight w:val="none"/>
              </w:rPr>
              <w:t>详见“招标公告”</w:t>
            </w:r>
          </w:p>
        </w:tc>
      </w:tr>
      <w:tr w14:paraId="7BC2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right"/>
        </w:trPr>
        <w:tc>
          <w:tcPr>
            <w:tcW w:w="511" w:type="dxa"/>
            <w:tcBorders>
              <w:left w:val="single" w:color="auto" w:sz="12" w:space="0"/>
            </w:tcBorders>
            <w:shd w:val="clear" w:color="auto" w:fill="auto"/>
            <w:vAlign w:val="center"/>
          </w:tcPr>
          <w:p w14:paraId="503F2D16">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12</w:t>
            </w:r>
          </w:p>
        </w:tc>
        <w:tc>
          <w:tcPr>
            <w:tcW w:w="1939" w:type="dxa"/>
            <w:vAlign w:val="center"/>
          </w:tcPr>
          <w:p w14:paraId="00C8E01F">
            <w:pPr>
              <w:adjustRightInd w:val="0"/>
              <w:snapToGrid w:val="0"/>
              <w:spacing w:beforeLines="20" w:afterLines="20"/>
              <w:jc w:val="center"/>
              <w:rPr>
                <w:rFonts w:ascii="宋体" w:hAnsi="宋体" w:cs="宋体"/>
                <w:color w:val="auto"/>
                <w:sz w:val="24"/>
                <w:highlight w:val="none"/>
              </w:rPr>
            </w:pPr>
            <w:r>
              <w:rPr>
                <w:rFonts w:hint="eastAsia" w:ascii="宋体" w:hAnsi="宋体" w:cs="宋体"/>
                <w:color w:val="auto"/>
                <w:sz w:val="24"/>
                <w:highlight w:val="none"/>
              </w:rPr>
              <w:t>开标地点及时间</w:t>
            </w:r>
          </w:p>
        </w:tc>
        <w:tc>
          <w:tcPr>
            <w:tcW w:w="6988" w:type="dxa"/>
            <w:tcBorders>
              <w:right w:val="single" w:color="auto" w:sz="12" w:space="0"/>
            </w:tcBorders>
            <w:vAlign w:val="center"/>
          </w:tcPr>
          <w:p w14:paraId="1EC5A705">
            <w:pPr>
              <w:adjustRightInd w:val="0"/>
              <w:snapToGrid w:val="0"/>
              <w:ind w:left="-56" w:leftChars="-27"/>
              <w:rPr>
                <w:rFonts w:ascii="宋体" w:hAnsi="宋体" w:cs="宋体"/>
                <w:color w:val="auto"/>
                <w:sz w:val="24"/>
                <w:highlight w:val="none"/>
              </w:rPr>
            </w:pPr>
            <w:r>
              <w:rPr>
                <w:rFonts w:hint="eastAsia" w:ascii="宋体" w:hAnsi="宋体" w:cs="宋体"/>
                <w:color w:val="auto"/>
                <w:sz w:val="24"/>
                <w:highlight w:val="none"/>
              </w:rPr>
              <w:t>详见“招标公告”</w:t>
            </w:r>
          </w:p>
        </w:tc>
      </w:tr>
      <w:tr w14:paraId="1C31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right"/>
        </w:trPr>
        <w:tc>
          <w:tcPr>
            <w:tcW w:w="511" w:type="dxa"/>
            <w:tcBorders>
              <w:left w:val="single" w:color="auto" w:sz="12" w:space="0"/>
            </w:tcBorders>
            <w:shd w:val="clear" w:color="auto" w:fill="auto"/>
            <w:vAlign w:val="center"/>
          </w:tcPr>
          <w:p w14:paraId="5EA8FF93">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13</w:t>
            </w:r>
          </w:p>
        </w:tc>
        <w:tc>
          <w:tcPr>
            <w:tcW w:w="1939" w:type="dxa"/>
            <w:vAlign w:val="center"/>
          </w:tcPr>
          <w:p w14:paraId="277B0455">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988" w:type="dxa"/>
            <w:tcBorders>
              <w:right w:val="single" w:color="auto" w:sz="12" w:space="0"/>
            </w:tcBorders>
            <w:vAlign w:val="center"/>
          </w:tcPr>
          <w:p w14:paraId="0FD63831">
            <w:pPr>
              <w:spacing w:line="380" w:lineRule="exact"/>
              <w:rPr>
                <w:rFonts w:ascii="宋体" w:hAnsi="宋体" w:cs="宋体"/>
                <w:b/>
                <w:bCs/>
                <w:color w:val="auto"/>
                <w:sz w:val="24"/>
                <w:highlight w:val="none"/>
              </w:rPr>
            </w:pPr>
            <w:r>
              <w:rPr>
                <w:rFonts w:hint="eastAsia" w:ascii="宋体" w:hAnsi="宋体" w:cs="宋体"/>
                <w:b/>
                <w:color w:val="auto"/>
                <w:sz w:val="24"/>
                <w:highlight w:val="none"/>
              </w:rPr>
              <w:t>综合评估法</w:t>
            </w:r>
          </w:p>
        </w:tc>
      </w:tr>
      <w:tr w14:paraId="65F9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right"/>
        </w:trPr>
        <w:tc>
          <w:tcPr>
            <w:tcW w:w="511" w:type="dxa"/>
            <w:tcBorders>
              <w:left w:val="single" w:color="auto" w:sz="12" w:space="0"/>
            </w:tcBorders>
            <w:shd w:val="clear" w:color="auto" w:fill="auto"/>
            <w:vAlign w:val="top"/>
          </w:tcPr>
          <w:p w14:paraId="0A74064A">
            <w:pPr>
              <w:spacing w:line="380" w:lineRule="exact"/>
              <w:jc w:val="center"/>
              <w:rPr>
                <w:rFonts w:ascii="宋体" w:hAnsi="宋体" w:cs="宋体"/>
                <w:color w:val="auto"/>
                <w:sz w:val="24"/>
                <w:highlight w:val="none"/>
              </w:rPr>
            </w:pPr>
          </w:p>
          <w:p w14:paraId="778261BC">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14</w:t>
            </w:r>
          </w:p>
        </w:tc>
        <w:tc>
          <w:tcPr>
            <w:tcW w:w="1939" w:type="dxa"/>
            <w:vAlign w:val="center"/>
          </w:tcPr>
          <w:p w14:paraId="6BB8D365">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资格审查</w:t>
            </w:r>
          </w:p>
        </w:tc>
        <w:tc>
          <w:tcPr>
            <w:tcW w:w="6988" w:type="dxa"/>
            <w:tcBorders>
              <w:right w:val="single" w:color="auto" w:sz="12" w:space="0"/>
            </w:tcBorders>
            <w:vAlign w:val="center"/>
          </w:tcPr>
          <w:p w14:paraId="13FA146E">
            <w:pPr>
              <w:spacing w:line="380" w:lineRule="exact"/>
              <w:rPr>
                <w:rFonts w:ascii="宋体" w:hAnsi="宋体" w:cs="宋体"/>
                <w:color w:val="auto"/>
                <w:sz w:val="24"/>
                <w:highlight w:val="none"/>
              </w:rPr>
            </w:pPr>
            <w:r>
              <w:rPr>
                <w:rFonts w:hint="eastAsia" w:ascii="宋体" w:hAnsi="宋体" w:cs="宋体"/>
                <w:color w:val="auto"/>
                <w:sz w:val="24"/>
                <w:highlight w:val="none"/>
              </w:rPr>
              <w:t>采取资格后审方式进行</w:t>
            </w:r>
          </w:p>
        </w:tc>
      </w:tr>
      <w:tr w14:paraId="2D44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top"/>
          </w:tcPr>
          <w:p w14:paraId="2EC9462C">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15</w:t>
            </w:r>
          </w:p>
        </w:tc>
        <w:tc>
          <w:tcPr>
            <w:tcW w:w="1939" w:type="dxa"/>
          </w:tcPr>
          <w:p w14:paraId="6FCDB386">
            <w:pPr>
              <w:spacing w:line="380" w:lineRule="exact"/>
              <w:jc w:val="center"/>
              <w:rPr>
                <w:rFonts w:ascii="宋体" w:hAnsi="宋体" w:cs="宋体"/>
                <w:color w:val="auto"/>
                <w:sz w:val="24"/>
                <w:highlight w:val="none"/>
              </w:rPr>
            </w:pPr>
          </w:p>
          <w:p w14:paraId="49430319">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6988" w:type="dxa"/>
            <w:tcBorders>
              <w:right w:val="single" w:color="auto" w:sz="12" w:space="0"/>
            </w:tcBorders>
            <w:vAlign w:val="center"/>
          </w:tcPr>
          <w:p w14:paraId="6AB71154">
            <w:pPr>
              <w:spacing w:line="380" w:lineRule="exact"/>
              <w:ind w:firstLine="480" w:firstLineChars="200"/>
              <w:rPr>
                <w:rFonts w:hint="eastAsia" w:ascii="宋体" w:hAnsi="宋体"/>
                <w:color w:val="auto"/>
                <w:sz w:val="24"/>
                <w:szCs w:val="24"/>
                <w:highlight w:val="none"/>
              </w:rPr>
            </w:pPr>
            <w:bookmarkStart w:id="11" w:name="_Hlk173307501"/>
            <w:r>
              <w:rPr>
                <w:rFonts w:hint="eastAsia" w:ascii="宋体" w:hAnsi="宋体"/>
                <w:color w:val="auto"/>
                <w:sz w:val="24"/>
                <w:szCs w:val="24"/>
                <w:highlight w:val="none"/>
              </w:rPr>
              <w:t>①本项目中标监理费不作为支付监理费及结算依据，实际监理费按费率计算，即中标监理费率=中标监理费/</w:t>
            </w:r>
            <w:r>
              <w:rPr>
                <w:rFonts w:hint="eastAsia" w:ascii="宋体" w:hAnsi="宋体"/>
                <w:color w:val="auto"/>
                <w:sz w:val="24"/>
                <w:szCs w:val="24"/>
                <w:highlight w:val="none"/>
                <w:lang w:val="en-US" w:eastAsia="zh-CN"/>
              </w:rPr>
              <w:t>2650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预估</w:t>
            </w:r>
            <w:r>
              <w:rPr>
                <w:rFonts w:hint="eastAsia" w:ascii="宋体" w:hAnsi="宋体"/>
                <w:color w:val="auto"/>
                <w:sz w:val="24"/>
                <w:szCs w:val="24"/>
                <w:highlight w:val="none"/>
              </w:rPr>
              <w:t>建安工程费投资）*100%；</w:t>
            </w:r>
          </w:p>
          <w:p w14:paraId="149D5953">
            <w:pPr>
              <w:spacing w:line="3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②合同监理费总额仅作为发包人向监理单位支付监理费进度款的参考依据，不作为最终监理费结算依据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最终结算监理费为中标监理费率*最终</w:t>
            </w:r>
            <w:r>
              <w:rPr>
                <w:rFonts w:hint="eastAsia" w:ascii="宋体" w:hAnsi="宋体"/>
                <w:color w:val="auto"/>
                <w:sz w:val="24"/>
                <w:szCs w:val="24"/>
                <w:highlight w:val="none"/>
              </w:rPr>
              <w:t>工程结算价</w:t>
            </w:r>
            <w:r>
              <w:rPr>
                <w:rFonts w:hint="eastAsia" w:ascii="宋体" w:hAnsi="宋体"/>
                <w:color w:val="auto"/>
                <w:sz w:val="24"/>
                <w:szCs w:val="24"/>
                <w:highlight w:val="none"/>
                <w:lang w:eastAsia="zh-CN"/>
              </w:rPr>
              <w:t>。</w:t>
            </w:r>
          </w:p>
          <w:p w14:paraId="43C8D87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③</w:t>
            </w:r>
            <w:r>
              <w:rPr>
                <w:rFonts w:hint="eastAsia" w:ascii="宋体" w:hAnsi="宋体"/>
                <w:color w:val="auto"/>
                <w:sz w:val="24"/>
                <w:szCs w:val="24"/>
                <w:highlight w:val="none"/>
                <w:lang w:val="en-US" w:eastAsia="zh-CN"/>
              </w:rPr>
              <w:t xml:space="preserve">每月按实际完成工程量造价×中标监理费率×85% 支付，工程竣工 验收合格后付至85% （计算方式同上），工程完成竣工备案及工程结算审核，向招标人或招标人指定的单位书面移交完毕付至90%，工程竣工资料和监理资料整理并验收合格并移交给相关部门且缺陷责任期满后付至监理范围内工程结算价×中标监理费率的100%。 </w:t>
            </w:r>
          </w:p>
          <w:p w14:paraId="027F1B8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注：本工程监理服务费以监理范围内最终工程竣工结算核定价为计费基数，进度款计费基础暂按施工单位中标价作为计费基础，计费费率按监理单位中标的费率。</w:t>
            </w:r>
          </w:p>
          <w:p w14:paraId="67EEFE1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④本工程监理费率为“固定费率”。监理单位的中标费率不因工程量的增减和政策性调整而改变。在本合同执行完毕、工程竣工验收、决算后，以最终竣工结算审定总额乘以中标监理费率确定监理服务最终实际收费。</w:t>
            </w:r>
            <w:bookmarkEnd w:id="11"/>
          </w:p>
        </w:tc>
      </w:tr>
      <w:tr w14:paraId="4C6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14:paraId="4A2DF42D">
            <w:pPr>
              <w:spacing w:line="38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16</w:t>
            </w:r>
          </w:p>
        </w:tc>
        <w:tc>
          <w:tcPr>
            <w:tcW w:w="1939" w:type="dxa"/>
          </w:tcPr>
          <w:p w14:paraId="67EAF980">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招标代理服务费</w:t>
            </w:r>
          </w:p>
        </w:tc>
        <w:tc>
          <w:tcPr>
            <w:tcW w:w="6988" w:type="dxa"/>
            <w:tcBorders>
              <w:right w:val="single" w:color="auto" w:sz="12" w:space="0"/>
            </w:tcBorders>
            <w:vAlign w:val="center"/>
          </w:tcPr>
          <w:p w14:paraId="7C43BD8C">
            <w:pPr>
              <w:spacing w:line="380" w:lineRule="exact"/>
              <w:ind w:firstLine="480" w:firstLineChars="200"/>
              <w:rPr>
                <w:rFonts w:ascii="宋体" w:hAnsi="宋体" w:cs="宋体"/>
                <w:color w:val="auto"/>
                <w:szCs w:val="21"/>
                <w:highlight w:val="none"/>
              </w:rPr>
            </w:pPr>
            <w:r>
              <w:rPr>
                <w:rFonts w:hint="eastAsia" w:ascii="宋体" w:hAnsi="宋体" w:eastAsia="宋体"/>
                <w:color w:val="auto"/>
                <w:sz w:val="24"/>
                <w:szCs w:val="24"/>
                <w:highlight w:val="none"/>
              </w:rPr>
              <w:t>招标代理费</w:t>
            </w:r>
            <w:r>
              <w:rPr>
                <w:rFonts w:hint="eastAsia" w:ascii="宋体" w:hAnsi="宋体" w:eastAsia="宋体"/>
                <w:color w:val="auto"/>
                <w:sz w:val="24"/>
                <w:szCs w:val="24"/>
                <w:highlight w:val="none"/>
                <w:lang w:val="en-US" w:eastAsia="zh-CN"/>
              </w:rPr>
              <w:t>包干价3000元</w:t>
            </w:r>
            <w:r>
              <w:rPr>
                <w:rFonts w:hint="eastAsia" w:ascii="宋体" w:hAnsi="宋体" w:eastAsia="宋体"/>
                <w:color w:val="auto"/>
                <w:sz w:val="24"/>
                <w:szCs w:val="24"/>
                <w:highlight w:val="none"/>
              </w:rPr>
              <w:t>，招标代理费由中标人支付，此费用视同包含在投标总价中，招标人</w:t>
            </w:r>
            <w:r>
              <w:rPr>
                <w:rFonts w:hint="eastAsia" w:ascii="宋体" w:hAnsi="宋体" w:eastAsia="宋体"/>
                <w:color w:val="auto"/>
                <w:sz w:val="24"/>
                <w:szCs w:val="24"/>
                <w:highlight w:val="none"/>
                <w:lang w:eastAsia="zh-CN"/>
              </w:rPr>
              <w:t>不再</w:t>
            </w:r>
            <w:r>
              <w:rPr>
                <w:rFonts w:hint="eastAsia" w:ascii="宋体" w:hAnsi="宋体" w:eastAsia="宋体"/>
                <w:color w:val="auto"/>
                <w:sz w:val="24"/>
                <w:szCs w:val="24"/>
                <w:highlight w:val="none"/>
              </w:rPr>
              <w:t>另行支付。</w:t>
            </w:r>
          </w:p>
        </w:tc>
      </w:tr>
      <w:tr w14:paraId="4770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14:paraId="08D3154E">
            <w:pPr>
              <w:spacing w:line="38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17</w:t>
            </w:r>
          </w:p>
        </w:tc>
        <w:tc>
          <w:tcPr>
            <w:tcW w:w="1939" w:type="dxa"/>
            <w:vAlign w:val="center"/>
          </w:tcPr>
          <w:p w14:paraId="279D8945">
            <w:pPr>
              <w:pStyle w:val="13"/>
              <w:adjustRightInd w:val="0"/>
              <w:spacing w:line="360" w:lineRule="auto"/>
              <w:jc w:val="center"/>
              <w:rPr>
                <w:rFonts w:ascii="宋体" w:hAnsi="宋体"/>
                <w:color w:val="auto"/>
                <w:szCs w:val="24"/>
                <w:highlight w:val="none"/>
              </w:rPr>
            </w:pPr>
            <w:r>
              <w:rPr>
                <w:rFonts w:hint="eastAsia" w:ascii="宋体" w:hAnsi="宋体"/>
                <w:color w:val="auto"/>
                <w:szCs w:val="24"/>
                <w:highlight w:val="none"/>
              </w:rPr>
              <w:t>开标注意事项</w:t>
            </w:r>
          </w:p>
        </w:tc>
        <w:tc>
          <w:tcPr>
            <w:tcW w:w="6988" w:type="dxa"/>
            <w:tcBorders>
              <w:right w:val="single" w:color="auto" w:sz="12" w:space="0"/>
            </w:tcBorders>
            <w:vAlign w:val="center"/>
          </w:tcPr>
          <w:p w14:paraId="073CE342">
            <w:pPr>
              <w:adjustRightInd w:val="0"/>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开标会议邀请所有投标人代表参加。详见投标须知中开标部分及评标办法</w:t>
            </w:r>
          </w:p>
        </w:tc>
      </w:tr>
      <w:tr w14:paraId="1052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14:paraId="1E416721">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18</w:t>
            </w:r>
          </w:p>
        </w:tc>
        <w:tc>
          <w:tcPr>
            <w:tcW w:w="1939" w:type="dxa"/>
            <w:vAlign w:val="center"/>
          </w:tcPr>
          <w:p w14:paraId="14624A13">
            <w:pPr>
              <w:adjustRightIn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领取中标通知书及合同签订要求</w:t>
            </w:r>
          </w:p>
        </w:tc>
        <w:tc>
          <w:tcPr>
            <w:tcW w:w="6988" w:type="dxa"/>
            <w:tcBorders>
              <w:right w:val="single" w:color="auto" w:sz="12" w:space="0"/>
            </w:tcBorders>
          </w:tcPr>
          <w:p w14:paraId="7E48AB36">
            <w:pPr>
              <w:adjustRightInd w:val="0"/>
              <w:spacing w:line="288"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1.中标人应在中标公示发布后的7天内领取《中标通知书》，逾期不领取视为放弃中标资格，招标人有权取消中标人中标资格，并将相关情况报送监管部门，由监管部门按规定处理。</w:t>
            </w:r>
          </w:p>
          <w:p w14:paraId="0ED0BC36">
            <w:pPr>
              <w:adjustRightInd w:val="0"/>
              <w:spacing w:line="288" w:lineRule="auto"/>
              <w:jc w:val="left"/>
              <w:rPr>
                <w:rFonts w:ascii="宋体" w:hAnsi="宋体"/>
                <w:b/>
                <w:bCs/>
                <w:color w:val="auto"/>
                <w:sz w:val="24"/>
                <w:szCs w:val="24"/>
                <w:highlight w:val="none"/>
              </w:rPr>
            </w:pPr>
            <w:r>
              <w:rPr>
                <w:rFonts w:hint="eastAsia" w:ascii="宋体" w:hAnsi="宋体"/>
                <w:b/>
                <w:bCs/>
                <w:color w:val="auto"/>
                <w:sz w:val="24"/>
                <w:szCs w:val="24"/>
                <w:highlight w:val="none"/>
                <w:lang w:val="en-US" w:eastAsia="zh-CN"/>
              </w:rPr>
              <w:t>2.中标人应在领取《中标通知书》后的30天内与招标人签订合同，逾期未签订合同的，招标人有权拒签合同、取消中标人中标资格，并将相关违约行为报送监管部门，由监管部门按规定处理。</w:t>
            </w:r>
          </w:p>
        </w:tc>
      </w:tr>
      <w:tr w14:paraId="663C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14:paraId="1274A914">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19</w:t>
            </w:r>
          </w:p>
        </w:tc>
        <w:tc>
          <w:tcPr>
            <w:tcW w:w="1939" w:type="dxa"/>
            <w:vAlign w:val="center"/>
          </w:tcPr>
          <w:p w14:paraId="7C19129E">
            <w:pPr>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重要提示（一）</w:t>
            </w:r>
          </w:p>
        </w:tc>
        <w:tc>
          <w:tcPr>
            <w:tcW w:w="6988" w:type="dxa"/>
            <w:tcBorders>
              <w:right w:val="single" w:color="auto" w:sz="12" w:space="0"/>
            </w:tcBorders>
            <w:vAlign w:val="center"/>
          </w:tcPr>
          <w:p w14:paraId="6D19C3CF">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投标人一旦中标，在监理服务期内自行解决食宿（不得在施工区域内），并配备必要的交通工具和检测设备，一切费用由中标人自行承担，</w:t>
            </w:r>
            <w:r>
              <w:rPr>
                <w:rFonts w:hint="eastAsia" w:ascii="宋体" w:hAnsi="宋体" w:cs="宋体"/>
                <w:b/>
                <w:bCs/>
                <w:color w:val="auto"/>
                <w:sz w:val="24"/>
                <w:szCs w:val="24"/>
                <w:highlight w:val="none"/>
              </w:rPr>
              <w:t>否则招标人有权扣除30%监理服务费。</w:t>
            </w:r>
          </w:p>
          <w:p w14:paraId="41FDDAB4">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2.拟派总监理工程师不得有异地（铜陵市以外地区）在监项目，必须保证完成办理施工许可证。</w:t>
            </w:r>
          </w:p>
          <w:p w14:paraId="579F41B1">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3.若监理人投标时拟派的监理人员不能到岗履行职责，则委托人有权取消其委托合同，监理人不得拒绝，且造成的一切损失由监理人自行承担。</w:t>
            </w:r>
          </w:p>
          <w:p w14:paraId="019C7A15">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.监理单位权限：须经过建设单位授权才能实施的权限： 图纸变更权、与经济有关的确认权、开工令、停工令、施工单位项目组成人员变更权限。</w:t>
            </w:r>
          </w:p>
          <w:p w14:paraId="6925A85F">
            <w:pPr>
              <w:numPr>
                <w:ilvl w:val="0"/>
                <w:numId w:val="0"/>
              </w:numPr>
              <w:spacing w:line="38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监理单位在审核施工单位提供的正式经济签证文书前，施工单位必须提供建设单位现场确认的原始记录，否则，监理单位不能在正式经济</w:t>
            </w:r>
            <w:r>
              <w:rPr>
                <w:rFonts w:hint="eastAsia" w:ascii="宋体" w:hAnsi="宋体" w:cs="宋体"/>
                <w:b/>
                <w:bCs/>
                <w:color w:val="auto"/>
                <w:sz w:val="24"/>
                <w:szCs w:val="24"/>
                <w:highlight w:val="none"/>
                <w:lang w:val="en-US" w:eastAsia="zh-CN"/>
              </w:rPr>
              <w:t>签证</w:t>
            </w:r>
            <w:r>
              <w:rPr>
                <w:rFonts w:hint="eastAsia" w:ascii="宋体" w:hAnsi="宋体" w:cs="宋体"/>
                <w:b/>
                <w:bCs/>
                <w:color w:val="auto"/>
                <w:sz w:val="24"/>
                <w:szCs w:val="24"/>
                <w:highlight w:val="none"/>
              </w:rPr>
              <w:t>文书上</w:t>
            </w:r>
            <w:r>
              <w:rPr>
                <w:rFonts w:hint="eastAsia" w:ascii="宋体" w:hAnsi="宋体" w:cs="宋体"/>
                <w:b/>
                <w:bCs/>
                <w:color w:val="auto"/>
                <w:sz w:val="24"/>
                <w:szCs w:val="24"/>
                <w:highlight w:val="none"/>
                <w:lang w:val="en-US" w:eastAsia="zh-CN"/>
              </w:rPr>
              <w:t>签字</w:t>
            </w:r>
            <w:r>
              <w:rPr>
                <w:rFonts w:hint="eastAsia" w:ascii="宋体" w:hAnsi="宋体" w:cs="宋体"/>
                <w:b/>
                <w:bCs/>
                <w:color w:val="auto"/>
                <w:sz w:val="24"/>
                <w:szCs w:val="24"/>
                <w:highlight w:val="none"/>
              </w:rPr>
              <w:t>盖章。正式经济签证文书必须经总监理工程师签字确认并加盖监理单位法人章。</w:t>
            </w:r>
          </w:p>
        </w:tc>
      </w:tr>
      <w:tr w14:paraId="3E17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14:paraId="4005F996">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20</w:t>
            </w:r>
          </w:p>
        </w:tc>
        <w:tc>
          <w:tcPr>
            <w:tcW w:w="1939" w:type="dxa"/>
            <w:vAlign w:val="center"/>
          </w:tcPr>
          <w:p w14:paraId="724E9684">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重要提示（二）</w:t>
            </w:r>
          </w:p>
        </w:tc>
        <w:tc>
          <w:tcPr>
            <w:tcW w:w="6988" w:type="dxa"/>
            <w:tcBorders>
              <w:right w:val="single" w:color="auto" w:sz="12" w:space="0"/>
            </w:tcBorders>
            <w:vAlign w:val="center"/>
          </w:tcPr>
          <w:p w14:paraId="36C9B119">
            <w:pPr>
              <w:snapToGrid w:val="0"/>
              <w:spacing w:line="380" w:lineRule="exact"/>
              <w:rPr>
                <w:rFonts w:ascii="宋体" w:hAnsi="宋体"/>
                <w:b/>
                <w:bCs/>
                <w:color w:val="auto"/>
                <w:sz w:val="24"/>
                <w:szCs w:val="24"/>
                <w:highlight w:val="none"/>
              </w:rPr>
            </w:pPr>
            <w:r>
              <w:rPr>
                <w:rFonts w:hint="eastAsia" w:ascii="宋体" w:hAnsi="宋体"/>
                <w:b/>
                <w:bCs/>
                <w:color w:val="auto"/>
                <w:sz w:val="24"/>
                <w:szCs w:val="24"/>
                <w:highlight w:val="none"/>
              </w:rPr>
              <w:t>1.中标候选人业绩及项目总监理工程师经评审符合招标文件要求的业绩情况将在预中标公示中一并公开。</w:t>
            </w:r>
          </w:p>
          <w:p w14:paraId="1EEF372B">
            <w:pPr>
              <w:snapToGrid w:val="0"/>
              <w:spacing w:line="380" w:lineRule="exact"/>
              <w:rPr>
                <w:rFonts w:ascii="宋体" w:hAnsi="宋体"/>
                <w:b/>
                <w:bCs/>
                <w:color w:val="auto"/>
                <w:sz w:val="24"/>
                <w:szCs w:val="24"/>
                <w:highlight w:val="none"/>
              </w:rPr>
            </w:pPr>
            <w:r>
              <w:rPr>
                <w:rFonts w:hint="eastAsia" w:ascii="宋体" w:hAnsi="宋体"/>
                <w:b/>
                <w:bCs/>
                <w:color w:val="auto"/>
                <w:sz w:val="24"/>
                <w:szCs w:val="24"/>
                <w:highlight w:val="none"/>
              </w:rPr>
              <w:t>2.如有多个评审环节需要提供相同的资料，投标人应在最靠前的评审环节提供，并在后续的评审环节中注明见投标文件的某个部分，以方便评委评审。</w:t>
            </w:r>
          </w:p>
        </w:tc>
      </w:tr>
      <w:tr w14:paraId="415B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14:paraId="546D7A28">
            <w:pPr>
              <w:spacing w:line="380" w:lineRule="exact"/>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sz w:val="24"/>
                <w:highlight w:val="none"/>
                <w:lang w:val="en-US" w:eastAsia="zh-CN"/>
              </w:rPr>
              <w:t>21</w:t>
            </w:r>
          </w:p>
        </w:tc>
        <w:tc>
          <w:tcPr>
            <w:tcW w:w="1939" w:type="dxa"/>
            <w:vAlign w:val="center"/>
          </w:tcPr>
          <w:p w14:paraId="29672917">
            <w:pPr>
              <w:adjustRightIn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招标文件的解释权顺序</w:t>
            </w:r>
          </w:p>
        </w:tc>
        <w:tc>
          <w:tcPr>
            <w:tcW w:w="6988" w:type="dxa"/>
            <w:tcBorders>
              <w:right w:val="single" w:color="auto" w:sz="12" w:space="0"/>
            </w:tcBorders>
            <w:vAlign w:val="center"/>
          </w:tcPr>
          <w:p w14:paraId="3F104C37">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1.构成本招标文件的各个组成文件应互为解释，互为说明；</w:t>
            </w:r>
          </w:p>
          <w:p w14:paraId="3E0CBC77">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2.招标文件约定中如有不明确或不一致的，工程量以工程量清单为准；构成合同组成内容的，以合同文件约定内容为准；</w:t>
            </w:r>
          </w:p>
          <w:p w14:paraId="0E99A74C">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3.除招标文件中有特别规定外，仅适用于招标投标阶段的规定，同一组成文件中就同一事项的规定或约定不一致的，按评标办法、招标公告、投标人须知、投标文件格式的优先顺序解释；</w:t>
            </w:r>
          </w:p>
          <w:p w14:paraId="361E74A3">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4.按上述规定仍不能形成结论的，由招标人或其委托的招标代理机构负责解释。</w:t>
            </w:r>
          </w:p>
        </w:tc>
      </w:tr>
      <w:tr w14:paraId="74AA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vAlign w:val="center"/>
          </w:tcPr>
          <w:p w14:paraId="5A66426E">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1939" w:type="dxa"/>
            <w:vAlign w:val="center"/>
          </w:tcPr>
          <w:p w14:paraId="1F2BEFB2">
            <w:pPr>
              <w:shd w:val="clear" w:color="auto" w:fill="auto"/>
              <w:snapToGrid w:val="0"/>
              <w:spacing w:line="440" w:lineRule="exact"/>
              <w:jc w:val="center"/>
              <w:rPr>
                <w:rFonts w:hint="eastAsia" w:ascii="宋体" w:hAnsi="宋体"/>
                <w:bCs/>
                <w:color w:val="auto"/>
                <w:sz w:val="24"/>
                <w:szCs w:val="24"/>
                <w:highlight w:val="none"/>
              </w:rPr>
            </w:pPr>
            <w:r>
              <w:rPr>
                <w:rFonts w:hint="eastAsia" w:ascii="宋体" w:hAnsi="宋体" w:eastAsia="宋体" w:cs="Times New Roman"/>
                <w:color w:val="auto"/>
                <w:sz w:val="24"/>
                <w:highlight w:val="none"/>
                <w:lang w:val="en-US" w:eastAsia="zh-CN"/>
              </w:rPr>
              <w:t>投标人不得存在的其他不良状况或不良信用记录</w:t>
            </w:r>
          </w:p>
        </w:tc>
        <w:tc>
          <w:tcPr>
            <w:tcW w:w="6988" w:type="dxa"/>
            <w:tcBorders>
              <w:right w:val="single" w:color="auto" w:sz="12" w:space="0"/>
            </w:tcBorders>
            <w:vAlign w:val="center"/>
          </w:tcPr>
          <w:p w14:paraId="02F9BA5C">
            <w:pPr>
              <w:shd w:val="clear" w:color="auto" w:fill="auto"/>
              <w:adjustRightIn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有下列失信行为之一的，不得推荐为中标候选人：</w:t>
            </w:r>
          </w:p>
          <w:p w14:paraId="27E5AEA4">
            <w:pPr>
              <w:shd w:val="clear" w:color="auto" w:fill="auto"/>
              <w:adjustRightIn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（1）被铜陵市住建局纳入“黑名单”管理的；</w:t>
            </w:r>
          </w:p>
          <w:p w14:paraId="116236DE">
            <w:pPr>
              <w:shd w:val="clear" w:color="auto" w:fill="auto"/>
              <w:adjustRightInd w:val="0"/>
              <w:spacing w:line="360" w:lineRule="auto"/>
              <w:jc w:val="left"/>
              <w:rPr>
                <w:rFonts w:hint="eastAsia" w:ascii="宋体" w:hAnsi="宋体"/>
                <w:b/>
                <w:bCs/>
                <w:color w:val="auto"/>
                <w:sz w:val="24"/>
                <w:szCs w:val="24"/>
                <w:highlight w:val="none"/>
              </w:rPr>
            </w:pPr>
            <w:r>
              <w:rPr>
                <w:rFonts w:hint="eastAsia" w:ascii="宋体" w:hAnsi="宋体" w:eastAsia="宋体" w:cs="Times New Roman"/>
                <w:color w:val="auto"/>
                <w:sz w:val="24"/>
                <w:highlight w:val="none"/>
                <w:lang w:val="en-US" w:eastAsia="zh-CN"/>
              </w:rPr>
              <w:t>（2）如本项目为重新招标，在之前投标中放弃中标资格的；</w:t>
            </w:r>
          </w:p>
        </w:tc>
      </w:tr>
      <w:tr w14:paraId="145E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vAlign w:val="center"/>
          </w:tcPr>
          <w:p w14:paraId="59187C38">
            <w:pPr>
              <w:spacing w:line="38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1939" w:type="dxa"/>
            <w:vAlign w:val="center"/>
          </w:tcPr>
          <w:p w14:paraId="18ACAF38">
            <w:pPr>
              <w:shd w:val="clear" w:color="auto" w:fill="auto"/>
              <w:snapToGrid w:val="0"/>
              <w:spacing w:line="440" w:lineRule="exact"/>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重要提示</w:t>
            </w:r>
          </w:p>
        </w:tc>
        <w:tc>
          <w:tcPr>
            <w:tcW w:w="6988" w:type="dxa"/>
            <w:tcBorders>
              <w:right w:val="single" w:color="auto" w:sz="12" w:space="0"/>
            </w:tcBorders>
            <w:vAlign w:val="top"/>
          </w:tcPr>
          <w:p w14:paraId="2F8BA195">
            <w:pPr>
              <w:shd w:val="clear" w:color="auto" w:fill="auto"/>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本项目在实施中分为闭库工程和销号工程，在闭库工程完成后进入销号工程（若有）实施阶段。</w:t>
            </w:r>
          </w:p>
        </w:tc>
      </w:tr>
    </w:tbl>
    <w:p w14:paraId="3C7D7D20">
      <w:pPr>
        <w:spacing w:line="400" w:lineRule="exact"/>
        <w:ind w:left="480" w:hanging="480"/>
        <w:jc w:val="center"/>
        <w:rPr>
          <w:rFonts w:hint="eastAsia" w:ascii="宋体" w:hAnsi="宋体" w:cs="宋体"/>
          <w:b/>
          <w:color w:val="auto"/>
          <w:sz w:val="32"/>
          <w:szCs w:val="32"/>
          <w:highlight w:val="none"/>
        </w:rPr>
      </w:pPr>
    </w:p>
    <w:p w14:paraId="6FFE4363">
      <w:pPr>
        <w:spacing w:line="400" w:lineRule="exact"/>
        <w:ind w:left="480" w:hanging="480"/>
        <w:jc w:val="center"/>
        <w:rPr>
          <w:rFonts w:hint="eastAsia" w:ascii="宋体" w:hAnsi="宋体" w:cs="宋体"/>
          <w:b/>
          <w:color w:val="auto"/>
          <w:sz w:val="32"/>
          <w:szCs w:val="32"/>
          <w:highlight w:val="none"/>
        </w:rPr>
      </w:pPr>
    </w:p>
    <w:p w14:paraId="1BF685AA">
      <w:pPr>
        <w:spacing w:line="400" w:lineRule="exact"/>
        <w:ind w:left="480" w:hanging="480"/>
        <w:jc w:val="center"/>
        <w:rPr>
          <w:rFonts w:hint="eastAsia" w:ascii="宋体" w:hAnsi="宋体" w:cs="宋体"/>
          <w:b/>
          <w:color w:val="auto"/>
          <w:sz w:val="32"/>
          <w:szCs w:val="32"/>
          <w:highlight w:val="none"/>
        </w:rPr>
      </w:pPr>
    </w:p>
    <w:p w14:paraId="1D837AFD">
      <w:pPr>
        <w:spacing w:line="400" w:lineRule="exact"/>
        <w:ind w:left="480" w:hanging="480"/>
        <w:jc w:val="center"/>
        <w:rPr>
          <w:rFonts w:hint="eastAsia" w:ascii="宋体" w:hAnsi="宋体" w:cs="宋体"/>
          <w:b/>
          <w:color w:val="auto"/>
          <w:sz w:val="32"/>
          <w:szCs w:val="32"/>
          <w:highlight w:val="none"/>
        </w:rPr>
      </w:pPr>
    </w:p>
    <w:p w14:paraId="69D8AC7C">
      <w:pPr>
        <w:spacing w:line="400" w:lineRule="exact"/>
        <w:ind w:left="480" w:hanging="480"/>
        <w:jc w:val="center"/>
        <w:rPr>
          <w:rFonts w:hint="eastAsia" w:ascii="宋体" w:hAnsi="宋体" w:cs="宋体"/>
          <w:b/>
          <w:color w:val="auto"/>
          <w:sz w:val="32"/>
          <w:szCs w:val="32"/>
          <w:highlight w:val="none"/>
        </w:rPr>
      </w:pPr>
    </w:p>
    <w:p w14:paraId="10FD269F">
      <w:pPr>
        <w:spacing w:line="400" w:lineRule="exact"/>
        <w:ind w:left="480" w:hanging="480"/>
        <w:jc w:val="center"/>
        <w:rPr>
          <w:rFonts w:hint="eastAsia" w:ascii="宋体" w:hAnsi="宋体" w:cs="宋体"/>
          <w:b/>
          <w:color w:val="auto"/>
          <w:sz w:val="32"/>
          <w:szCs w:val="32"/>
          <w:highlight w:val="none"/>
        </w:rPr>
      </w:pPr>
    </w:p>
    <w:p w14:paraId="55D9EB24">
      <w:pPr>
        <w:spacing w:line="400" w:lineRule="exact"/>
        <w:ind w:left="480" w:hanging="480"/>
        <w:jc w:val="center"/>
        <w:rPr>
          <w:rFonts w:hint="eastAsia" w:ascii="宋体" w:hAnsi="宋体" w:cs="宋体"/>
          <w:b/>
          <w:color w:val="auto"/>
          <w:sz w:val="32"/>
          <w:szCs w:val="32"/>
          <w:highlight w:val="none"/>
        </w:rPr>
      </w:pPr>
    </w:p>
    <w:p w14:paraId="44673D56">
      <w:pPr>
        <w:spacing w:line="400" w:lineRule="exact"/>
        <w:ind w:left="480" w:hanging="480"/>
        <w:jc w:val="center"/>
        <w:rPr>
          <w:rFonts w:hint="eastAsia" w:ascii="宋体" w:hAnsi="宋体" w:cs="宋体"/>
          <w:b/>
          <w:color w:val="auto"/>
          <w:sz w:val="32"/>
          <w:szCs w:val="32"/>
          <w:highlight w:val="none"/>
        </w:rPr>
      </w:pPr>
    </w:p>
    <w:p w14:paraId="59F41685">
      <w:pPr>
        <w:numPr>
          <w:ilvl w:val="0"/>
          <w:numId w:val="1"/>
        </w:numPr>
        <w:spacing w:line="400" w:lineRule="exact"/>
        <w:ind w:left="480" w:hanging="48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工程综合说明</w:t>
      </w:r>
    </w:p>
    <w:p w14:paraId="58669791">
      <w:pPr>
        <w:numPr>
          <w:ilvl w:val="0"/>
          <w:numId w:val="0"/>
        </w:numPr>
        <w:spacing w:line="400" w:lineRule="exact"/>
        <w:ind w:leftChars="0"/>
        <w:jc w:val="both"/>
        <w:rPr>
          <w:rFonts w:hint="eastAsia" w:ascii="宋体" w:hAnsi="宋体" w:cs="宋体"/>
          <w:b/>
          <w:color w:val="auto"/>
          <w:sz w:val="32"/>
          <w:szCs w:val="32"/>
          <w:highlight w:val="none"/>
        </w:rPr>
      </w:pPr>
    </w:p>
    <w:p w14:paraId="09B23A04">
      <w:pPr>
        <w:spacing w:line="500" w:lineRule="exact"/>
        <w:ind w:firstLine="560" w:firstLineChars="200"/>
        <w:rPr>
          <w:rFonts w:ascii="宋体" w:hAnsi="宋体" w:cs="宋体"/>
          <w:b/>
          <w:color w:val="auto"/>
          <w:sz w:val="28"/>
          <w:highlight w:val="none"/>
        </w:rPr>
      </w:pPr>
      <w:r>
        <w:rPr>
          <w:rFonts w:hint="eastAsia" w:ascii="宋体" w:hAnsi="宋体" w:cs="宋体"/>
          <w:color w:val="auto"/>
          <w:sz w:val="28"/>
          <w:highlight w:val="none"/>
        </w:rPr>
        <w:t>1.1</w:t>
      </w:r>
      <w:r>
        <w:rPr>
          <w:rFonts w:hint="eastAsia" w:ascii="宋体" w:hAnsi="宋体" w:cs="宋体"/>
          <w:b/>
          <w:color w:val="auto"/>
          <w:sz w:val="28"/>
          <w:highlight w:val="none"/>
        </w:rPr>
        <w:t>工程概况</w:t>
      </w:r>
    </w:p>
    <w:p w14:paraId="11C60BC7">
      <w:pPr>
        <w:spacing w:line="500" w:lineRule="exact"/>
        <w:ind w:firstLine="560" w:firstLineChars="200"/>
        <w:rPr>
          <w:rFonts w:hint="eastAsia" w:ascii="宋体" w:hAnsi="宋体" w:eastAsia="宋体" w:cs="宋体"/>
          <w:color w:val="auto"/>
          <w:sz w:val="28"/>
          <w:highlight w:val="none"/>
          <w:lang w:eastAsia="zh-CN"/>
        </w:rPr>
      </w:pPr>
      <w:r>
        <w:rPr>
          <w:rFonts w:hint="eastAsia" w:ascii="宋体" w:hAnsi="宋体" w:cs="宋体"/>
          <w:color w:val="auto"/>
          <w:sz w:val="28"/>
          <w:highlight w:val="none"/>
        </w:rPr>
        <w:t>1.1.1工程名称：</w:t>
      </w:r>
      <w:r>
        <w:rPr>
          <w:rFonts w:hint="eastAsia" w:ascii="宋体" w:hAnsi="宋体"/>
          <w:color w:val="auto"/>
          <w:sz w:val="28"/>
          <w:szCs w:val="28"/>
          <w:highlight w:val="none"/>
          <w:lang w:eastAsia="zh-CN"/>
        </w:rPr>
        <w:t>水木冲尾矿库闭库销号工程监理</w:t>
      </w:r>
    </w:p>
    <w:p w14:paraId="5FB089EF">
      <w:pPr>
        <w:spacing w:line="500" w:lineRule="exact"/>
        <w:ind w:firstLine="560" w:firstLineChars="200"/>
        <w:rPr>
          <w:rFonts w:hint="eastAsia" w:ascii="宋体" w:hAnsi="宋体" w:eastAsia="宋体" w:cs="宋体"/>
          <w:color w:val="auto"/>
          <w:sz w:val="28"/>
          <w:highlight w:val="none"/>
        </w:rPr>
      </w:pPr>
      <w:r>
        <w:rPr>
          <w:rFonts w:hint="eastAsia" w:ascii="宋体" w:hAnsi="宋体" w:cs="宋体"/>
          <w:color w:val="auto"/>
          <w:sz w:val="28"/>
          <w:highlight w:val="none"/>
        </w:rPr>
        <w:t>1.</w:t>
      </w:r>
      <w:r>
        <w:rPr>
          <w:rFonts w:hint="eastAsia" w:ascii="宋体" w:hAnsi="宋体" w:eastAsia="宋体" w:cs="宋体"/>
          <w:color w:val="auto"/>
          <w:sz w:val="28"/>
          <w:highlight w:val="none"/>
        </w:rPr>
        <w:t>1.2工程地点及周围环境：投标人自行现场踏勘、了解。</w:t>
      </w:r>
    </w:p>
    <w:p w14:paraId="04242724">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1.1.3工程规模内容及工程概算：</w:t>
      </w:r>
    </w:p>
    <w:p w14:paraId="37CD4EA7">
      <w:pPr>
        <w:spacing w:line="500" w:lineRule="exact"/>
        <w:ind w:firstLine="560" w:firstLineChars="200"/>
        <w:rPr>
          <w:rFonts w:hint="eastAsia" w:ascii="宋体" w:hAnsi="宋体" w:eastAsia="宋体" w:cs="宋体"/>
          <w:color w:val="auto"/>
          <w:sz w:val="28"/>
          <w:highlight w:val="none"/>
          <w:lang w:val="zh-CN"/>
        </w:rPr>
      </w:pPr>
      <w:r>
        <w:rPr>
          <w:rFonts w:hint="eastAsia" w:ascii="宋体" w:hAnsi="宋体" w:eastAsia="宋体" w:cs="宋体"/>
          <w:color w:val="auto"/>
          <w:sz w:val="28"/>
          <w:highlight w:val="none"/>
        </w:rPr>
        <w:t>建设规模：</w:t>
      </w:r>
      <w:r>
        <w:rPr>
          <w:rFonts w:hint="eastAsia" w:ascii="宋体" w:hAnsi="宋体" w:cs="宋体"/>
          <w:color w:val="auto"/>
          <w:sz w:val="28"/>
          <w:highlight w:val="none"/>
          <w:lang w:eastAsia="zh-CN"/>
        </w:rPr>
        <w:t>本项目尾矿库为“头顶库”，主要安全设施按照三等库标准设计并施工，分为闭库工程和销号工程。主要建设内容包含:库内滩面整平、原临时导水沟拆除、新建横向和纵向排水沟、副坝拆除、新建溢洪道、新建泄水陡槽、坝下沉淀池修整、滩面覆土、铺洒草籽、边坡挂网喷播、边坡分级平台修整、排水井封堵等工程</w:t>
      </w:r>
      <w:r>
        <w:rPr>
          <w:rFonts w:hint="eastAsia" w:ascii="宋体" w:hAnsi="宋体" w:eastAsia="宋体" w:cs="宋体"/>
          <w:color w:val="auto"/>
          <w:sz w:val="28"/>
          <w:highlight w:val="none"/>
          <w:lang w:eastAsia="zh-CN"/>
        </w:rPr>
        <w:t>，</w:t>
      </w:r>
      <w:r>
        <w:rPr>
          <w:rFonts w:hint="eastAsia" w:ascii="宋体" w:hAnsi="宋体" w:cs="宋体"/>
          <w:color w:val="auto"/>
          <w:sz w:val="28"/>
          <w:highlight w:val="none"/>
          <w:lang w:eastAsia="zh-CN"/>
        </w:rPr>
        <w:t>总投资额约2650万元</w:t>
      </w:r>
      <w:r>
        <w:rPr>
          <w:rFonts w:hint="eastAsia" w:ascii="宋体" w:hAnsi="宋体" w:eastAsia="宋体" w:cs="宋体"/>
          <w:color w:val="auto"/>
          <w:sz w:val="28"/>
          <w:highlight w:val="none"/>
        </w:rPr>
        <w:t>；</w:t>
      </w:r>
      <w:r>
        <w:rPr>
          <w:rFonts w:hint="eastAsia" w:ascii="宋体" w:hAnsi="宋体" w:eastAsia="宋体" w:cs="宋体"/>
          <w:color w:val="auto"/>
          <w:sz w:val="28"/>
          <w:highlight w:val="none"/>
        </w:rPr>
        <w:t>本项目最高投标限价为</w:t>
      </w:r>
      <w:r>
        <w:rPr>
          <w:rFonts w:hint="eastAsia" w:ascii="宋体" w:hAnsi="宋体" w:cs="宋体"/>
          <w:color w:val="auto"/>
          <w:sz w:val="28"/>
          <w:highlight w:val="none"/>
          <w:lang w:val="en-US" w:eastAsia="zh-CN"/>
        </w:rPr>
        <w:t>26.5万元</w:t>
      </w:r>
      <w:r>
        <w:rPr>
          <w:rFonts w:hint="eastAsia" w:ascii="宋体" w:hAnsi="宋体" w:eastAsia="宋体" w:cs="宋体"/>
          <w:color w:val="auto"/>
          <w:sz w:val="28"/>
          <w:highlight w:val="none"/>
        </w:rPr>
        <w:t>。</w:t>
      </w:r>
    </w:p>
    <w:p w14:paraId="04F90A75">
      <w:pPr>
        <w:spacing w:line="50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1.1.4标段划分：一个标段。</w:t>
      </w:r>
    </w:p>
    <w:p w14:paraId="4B277679">
      <w:pPr>
        <w:spacing w:line="500" w:lineRule="exact"/>
        <w:ind w:firstLine="560" w:firstLineChars="200"/>
        <w:rPr>
          <w:rFonts w:ascii="宋体" w:hAnsi="宋体" w:cs="宋体"/>
          <w:b/>
          <w:color w:val="auto"/>
          <w:sz w:val="28"/>
          <w:highlight w:val="none"/>
        </w:rPr>
      </w:pPr>
      <w:r>
        <w:rPr>
          <w:rFonts w:hint="eastAsia" w:ascii="宋体" w:hAnsi="宋体" w:cs="宋体"/>
          <w:color w:val="auto"/>
          <w:sz w:val="28"/>
          <w:highlight w:val="none"/>
        </w:rPr>
        <w:t>1.2</w:t>
      </w:r>
      <w:r>
        <w:rPr>
          <w:rFonts w:hint="eastAsia" w:ascii="宋体" w:hAnsi="宋体" w:cs="宋体"/>
          <w:b/>
          <w:color w:val="auto"/>
          <w:sz w:val="28"/>
          <w:highlight w:val="none"/>
        </w:rPr>
        <w:t>有关单位和机构</w:t>
      </w:r>
    </w:p>
    <w:p w14:paraId="37B2C712">
      <w:pPr>
        <w:spacing w:line="500" w:lineRule="exact"/>
        <w:ind w:firstLine="560" w:firstLineChars="200"/>
        <w:rPr>
          <w:rFonts w:hint="eastAsia" w:eastAsia="宋体"/>
          <w:color w:val="auto"/>
          <w:sz w:val="28"/>
          <w:highlight w:val="none"/>
          <w:lang w:eastAsia="zh-CN"/>
        </w:rPr>
      </w:pPr>
      <w:r>
        <w:rPr>
          <w:rFonts w:hint="eastAsia" w:ascii="宋体" w:hAnsi="宋体" w:cs="宋体"/>
          <w:color w:val="auto"/>
          <w:sz w:val="28"/>
          <w:highlight w:val="none"/>
        </w:rPr>
        <w:t>1.2.1 建设单位：</w:t>
      </w:r>
      <w:r>
        <w:rPr>
          <w:rFonts w:hint="eastAsia"/>
          <w:color w:val="auto"/>
          <w:sz w:val="28"/>
          <w:highlight w:val="none"/>
          <w:lang w:eastAsia="zh-CN"/>
        </w:rPr>
        <w:t>安徽奋迅实业有限公司</w:t>
      </w:r>
    </w:p>
    <w:p w14:paraId="703750B2">
      <w:pPr>
        <w:spacing w:line="500" w:lineRule="exact"/>
        <w:ind w:firstLine="560" w:firstLineChars="200"/>
        <w:rPr>
          <w:color w:val="auto"/>
          <w:sz w:val="28"/>
          <w:highlight w:val="none"/>
        </w:rPr>
      </w:pPr>
      <w:r>
        <w:rPr>
          <w:rFonts w:hint="eastAsia" w:ascii="宋体" w:hAnsi="宋体" w:cs="宋体"/>
          <w:color w:val="auto"/>
          <w:sz w:val="28"/>
          <w:highlight w:val="none"/>
        </w:rPr>
        <w:t>1.2.2 设计单位：铜陵有色设计研究院有限责任公司</w:t>
      </w:r>
    </w:p>
    <w:p w14:paraId="2D5CE9CF">
      <w:pPr>
        <w:spacing w:line="500" w:lineRule="exact"/>
        <w:ind w:firstLine="560" w:firstLineChars="200"/>
        <w:rPr>
          <w:color w:val="auto"/>
          <w:sz w:val="28"/>
          <w:highlight w:val="none"/>
        </w:rPr>
      </w:pPr>
      <w:r>
        <w:rPr>
          <w:rFonts w:hint="eastAsia" w:ascii="宋体" w:hAnsi="宋体" w:cs="宋体"/>
          <w:color w:val="auto"/>
          <w:sz w:val="28"/>
          <w:highlight w:val="none"/>
        </w:rPr>
        <w:t>1.2.3 质量监督机构：</w:t>
      </w:r>
    </w:p>
    <w:p w14:paraId="0226740E">
      <w:pPr>
        <w:spacing w:line="500" w:lineRule="exact"/>
        <w:ind w:firstLine="560" w:firstLineChars="200"/>
        <w:rPr>
          <w:rFonts w:ascii="宋体" w:hAnsi="宋体"/>
          <w:color w:val="auto"/>
          <w:sz w:val="28"/>
          <w:szCs w:val="28"/>
          <w:highlight w:val="none"/>
        </w:rPr>
      </w:pPr>
      <w:r>
        <w:rPr>
          <w:rFonts w:hint="eastAsia" w:ascii="宋体" w:hAnsi="宋体" w:cs="宋体"/>
          <w:color w:val="auto"/>
          <w:sz w:val="28"/>
          <w:highlight w:val="none"/>
        </w:rPr>
        <w:t>1.3</w:t>
      </w:r>
      <w:r>
        <w:rPr>
          <w:rFonts w:hint="eastAsia" w:ascii="宋体" w:hAnsi="宋体" w:cs="宋体"/>
          <w:b/>
          <w:color w:val="auto"/>
          <w:sz w:val="28"/>
          <w:highlight w:val="none"/>
        </w:rPr>
        <w:t>招标范围：</w:t>
      </w:r>
      <w:r>
        <w:rPr>
          <w:rFonts w:hint="eastAsia" w:ascii="宋体" w:hAnsi="宋体"/>
          <w:color w:val="auto"/>
          <w:sz w:val="28"/>
          <w:szCs w:val="28"/>
          <w:highlight w:val="none"/>
        </w:rPr>
        <w:t>项目施工阶段全过程监理、缺陷期监理、招标文件中所载明的内容及业主安排的其他事项。</w:t>
      </w:r>
    </w:p>
    <w:p w14:paraId="6A00D726">
      <w:pPr>
        <w:spacing w:line="500" w:lineRule="exact"/>
        <w:ind w:firstLine="560" w:firstLineChars="200"/>
        <w:rPr>
          <w:color w:val="auto"/>
          <w:sz w:val="28"/>
          <w:highlight w:val="none"/>
        </w:rPr>
      </w:pPr>
      <w:r>
        <w:rPr>
          <w:rFonts w:hint="eastAsia" w:ascii="宋体" w:hAnsi="宋体" w:cs="宋体"/>
          <w:color w:val="auto"/>
          <w:sz w:val="28"/>
          <w:highlight w:val="none"/>
        </w:rPr>
        <w:t>1.4</w:t>
      </w:r>
      <w:r>
        <w:rPr>
          <w:rFonts w:hint="eastAsia" w:ascii="宋体" w:hAnsi="宋体" w:cs="宋体"/>
          <w:b/>
          <w:color w:val="auto"/>
          <w:sz w:val="28"/>
          <w:highlight w:val="none"/>
        </w:rPr>
        <w:t>施工质量目标</w:t>
      </w:r>
      <w:r>
        <w:rPr>
          <w:rFonts w:hint="eastAsia" w:ascii="宋体" w:hAnsi="宋体" w:cs="宋体"/>
          <w:color w:val="auto"/>
          <w:sz w:val="28"/>
          <w:highlight w:val="none"/>
        </w:rPr>
        <w:t>：</w:t>
      </w:r>
      <w:r>
        <w:rPr>
          <w:rFonts w:hint="eastAsia"/>
          <w:color w:val="auto"/>
          <w:sz w:val="28"/>
          <w:highlight w:val="none"/>
        </w:rPr>
        <w:t>合格。</w:t>
      </w:r>
    </w:p>
    <w:p w14:paraId="3ADDA0B7">
      <w:pPr>
        <w:spacing w:line="500" w:lineRule="exact"/>
        <w:ind w:firstLine="560" w:firstLineChars="200"/>
        <w:rPr>
          <w:rFonts w:ascii="宋体" w:hAnsi="宋体"/>
          <w:color w:val="auto"/>
          <w:sz w:val="28"/>
          <w:szCs w:val="28"/>
          <w:highlight w:val="none"/>
        </w:rPr>
      </w:pPr>
      <w:r>
        <w:rPr>
          <w:rFonts w:hint="eastAsia" w:ascii="宋体" w:hAnsi="宋体" w:cs="宋体"/>
          <w:color w:val="auto"/>
          <w:sz w:val="28"/>
          <w:highlight w:val="none"/>
        </w:rPr>
        <w:t>1.5监理服务期：</w:t>
      </w:r>
      <w:r>
        <w:rPr>
          <w:rFonts w:hint="eastAsia" w:ascii="宋体" w:hAnsi="宋体"/>
          <w:color w:val="auto"/>
          <w:sz w:val="28"/>
          <w:szCs w:val="28"/>
          <w:highlight w:val="none"/>
        </w:rPr>
        <w:t>工程施工准备阶段至工程竣工备案、后期结算审计结束及</w:t>
      </w:r>
      <w:r>
        <w:rPr>
          <w:rFonts w:hint="eastAsia" w:ascii="宋体" w:hAnsi="宋体"/>
          <w:color w:val="auto"/>
          <w:sz w:val="28"/>
          <w:szCs w:val="28"/>
          <w:highlight w:val="none"/>
          <w:lang w:eastAsia="zh-CN"/>
        </w:rPr>
        <w:t>缺陷责任期</w:t>
      </w:r>
      <w:r>
        <w:rPr>
          <w:rFonts w:hint="eastAsia" w:ascii="宋体" w:hAnsi="宋体"/>
          <w:color w:val="auto"/>
          <w:sz w:val="28"/>
          <w:szCs w:val="28"/>
          <w:highlight w:val="none"/>
        </w:rPr>
        <w:t>满。</w:t>
      </w:r>
    </w:p>
    <w:p w14:paraId="2C7B55DF">
      <w:pPr>
        <w:spacing w:line="500" w:lineRule="exact"/>
        <w:ind w:firstLine="560" w:firstLineChars="200"/>
        <w:rPr>
          <w:rFonts w:ascii="宋体" w:hAnsi="宋体" w:cs="宋体"/>
          <w:b/>
          <w:color w:val="auto"/>
          <w:sz w:val="28"/>
          <w:highlight w:val="none"/>
        </w:rPr>
      </w:pPr>
      <w:r>
        <w:rPr>
          <w:rFonts w:hint="eastAsia" w:ascii="宋体" w:hAnsi="宋体" w:cs="宋体"/>
          <w:color w:val="auto"/>
          <w:sz w:val="28"/>
          <w:highlight w:val="none"/>
        </w:rPr>
        <w:t>1.6</w:t>
      </w:r>
      <w:r>
        <w:rPr>
          <w:rFonts w:hint="eastAsia" w:ascii="宋体" w:hAnsi="宋体" w:cs="宋体"/>
          <w:b/>
          <w:color w:val="auto"/>
          <w:sz w:val="28"/>
          <w:highlight w:val="none"/>
        </w:rPr>
        <w:t>监理服务内容和要求</w:t>
      </w:r>
      <w:r>
        <w:rPr>
          <w:rFonts w:hint="eastAsia" w:ascii="宋体" w:hAnsi="宋体" w:cs="宋体"/>
          <w:color w:val="auto"/>
          <w:sz w:val="28"/>
          <w:highlight w:val="none"/>
        </w:rPr>
        <w:t>:</w:t>
      </w:r>
    </w:p>
    <w:p w14:paraId="3FB3030A">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1.6.1根据国家现行的技术标准、规范、规程及《矿山工程监理规范》(GB/T50489-2008)、《尾矿库安全规程》（GB39496）、《安徽省矿山地质环境保护条例》等相关文件要求，为招标人提供工程建设项目监理服务； </w:t>
      </w:r>
    </w:p>
    <w:p w14:paraId="6EE7D1F8">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1.6.2根据工程建设项目内容及要求为招标人提供管理及技术咨询服务，包括但不限于以下内容； </w:t>
      </w:r>
    </w:p>
    <w:p w14:paraId="185C92ED">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（1）实施监理工作前，编写监理规划和监理实施细则；确定监理机构组成人员和职能分工； </w:t>
      </w:r>
    </w:p>
    <w:p w14:paraId="72464114">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（2）协助招标人召开第一次工地会议，起草会议纪要； </w:t>
      </w:r>
    </w:p>
    <w:p w14:paraId="0211A34E">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（3）定期主持召开工地例会、专项会议； </w:t>
      </w:r>
    </w:p>
    <w:p w14:paraId="0789C2A7">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（4）组织项目管理（监理）人员熟悉图纸，参加施工图会审和设计交底，提出监理意见； </w:t>
      </w:r>
    </w:p>
    <w:p w14:paraId="582615E2">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（5）审查承包人项目现场管理机构的质量管理体系、技术管理体系、质量保证体系和安全保证体系； </w:t>
      </w:r>
    </w:p>
    <w:p w14:paraId="2E2E10D2">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（6）审查承包人提交的施工组织设计、施工方案、总进度计划，提出审查意见； </w:t>
      </w:r>
    </w:p>
    <w:p w14:paraId="04A9424E">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（7）审查承包人开工申请报告，审查承包人各项施工准备工作，下达开工令； </w:t>
      </w:r>
    </w:p>
    <w:p w14:paraId="69DC0106">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（8）审核和确认承包人选择的分包单位、检测单位的资质及分包项目； </w:t>
      </w:r>
    </w:p>
    <w:p w14:paraId="23E689F3">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（9）审查承包人测量放线成果并检查对成果的保护措施；做好施工过程中测量复核、交验工作；</w:t>
      </w:r>
    </w:p>
    <w:p w14:paraId="55A18BED">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（10）督促承包人报送重点部位、关键工序的施工工艺和确保工程质量的措施，监理审核签认； </w:t>
      </w:r>
    </w:p>
    <w:p w14:paraId="22F8C8B1">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（11）审核承包人采用新材料、新设备、新技术、新工艺的施工工艺，组织专题论证，提出监理意见； </w:t>
      </w:r>
    </w:p>
    <w:p w14:paraId="21CF4C96">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（12）检查承包人拟进场工程材料、半成品、成品、构配件、设备的质量，审查质量证明资料，需要时采用见证取样方式进行监控； </w:t>
      </w:r>
    </w:p>
    <w:p w14:paraId="3BE26D07">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（13）监督承包人按施工规范和设计文件施工，对施工过程进行巡视和检查，对隐蔽工程施工质量进行验收。施工中的重点部位、关键部位安排项目管理（监理）人员旁站； </w:t>
      </w:r>
    </w:p>
    <w:p w14:paraId="3C2C7437">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（14）从安全、质量、工期、造价等方面审查设计变更，并提出监理建议； </w:t>
      </w:r>
    </w:p>
    <w:p w14:paraId="6C5C6BC4">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（15）对施工中出现的质量缺陷下达整改通知，督促整改，检查验收； </w:t>
      </w:r>
    </w:p>
    <w:p w14:paraId="778386E7">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（16）对重大质量隐患可能造成（或已发生）质量事故时，及时下达工程暂停令。下达工程暂停令应当事先向招标人报告，如在紧急情况下未能书面报告时，立即向招标人口头汇报并在 24 小时内作出书面报告； </w:t>
      </w:r>
    </w:p>
    <w:p w14:paraId="292C7D7F">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17）对需返工处理或加固补强的质量事故，责令承包人报送质量事故报告，组织工程质量事故分析。督促承包人按设计认可的处理方案进行整改，对质量事故的处理过程和结果跟踪检查和验收，及时记录归档资料； </w:t>
      </w:r>
    </w:p>
    <w:p w14:paraId="7B8B3BBF">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（18）协助招标人对工程项目造价目标进行风险分析，制定防范对策； </w:t>
      </w:r>
    </w:p>
    <w:p w14:paraId="11047B1E">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（19）审核承包人的设计变更、现场签证调整预算； </w:t>
      </w:r>
    </w:p>
    <w:p w14:paraId="2CFAD459">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（20）审核已完合格工程的工作量，签署工程款支付证书； </w:t>
      </w:r>
    </w:p>
    <w:p w14:paraId="28E498EC">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（21）审核承包人编制的工程结算； </w:t>
      </w:r>
    </w:p>
    <w:p w14:paraId="05995FFC">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（22）审查工程总进度计划及年、季、月、周施工进度计划，并督促实施； </w:t>
      </w:r>
    </w:p>
    <w:p w14:paraId="028AC46A">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（23）根据施工合同条款、施工图及施工组织设计制定进度控制方案，对进度目标进行风险分析，制定防范对策，报委托人； </w:t>
      </w:r>
    </w:p>
    <w:p w14:paraId="7F569783">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（24）分阶段检查进度控制情况，书面向招标人和承包人提出进度偏差的分析报告及调整意见。实际进度滞后于计划进度时，要求承包人 提出纠偏措施并监督实施； </w:t>
      </w:r>
    </w:p>
    <w:p w14:paraId="04AE07B2">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（25）建立合同台帐，收集整理相关资料，为处理费用索赔提供证据；协调处理合同纠纷和索赔事宜；</w:t>
      </w:r>
    </w:p>
    <w:p w14:paraId="58BD955C">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（26）审查承包人人员、设备的安全资格和安全专项方案，监督安全生产、文明施工。加强日常安全管理，定期组织有关单位进行安全大检查，发现问题督促责任方整改； </w:t>
      </w:r>
    </w:p>
    <w:p w14:paraId="7A72AE9B">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（27）协调施工中相关方工作； </w:t>
      </w:r>
    </w:p>
    <w:p w14:paraId="65E05E25">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（28）编报监理月报、监理工作阶段总结和专题报告。重点报告施工安全管理，工程质量、进度、投资控制的执行情况，提出工程中存在的问题及处理建议； </w:t>
      </w:r>
    </w:p>
    <w:p w14:paraId="5DF9FCAD">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（29）审查竣工资料，组织单位工程竣工预验收，签署工程竣工报验单，提出工程质量评估报告； </w:t>
      </w:r>
    </w:p>
    <w:p w14:paraId="27E38B36">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（30）参加招标人组织的竣工验收，提交相关的监理资料，签署竣工验收报告； </w:t>
      </w:r>
    </w:p>
    <w:p w14:paraId="0F77C9A2">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（31）负责办理招标人交代的其他工作。</w:t>
      </w:r>
    </w:p>
    <w:p w14:paraId="32BC9426">
      <w:pPr>
        <w:spacing w:line="500" w:lineRule="exact"/>
        <w:jc w:val="center"/>
        <w:rPr>
          <w:rFonts w:hint="eastAsia" w:ascii="宋体" w:hAnsi="宋体" w:cs="宋体"/>
          <w:b/>
          <w:color w:val="auto"/>
          <w:sz w:val="32"/>
          <w:szCs w:val="32"/>
          <w:highlight w:val="none"/>
        </w:rPr>
      </w:pPr>
    </w:p>
    <w:p w14:paraId="6B6A18D0">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第三部分  投标须知</w:t>
      </w:r>
    </w:p>
    <w:p w14:paraId="1C3D214A">
      <w:pPr>
        <w:pStyle w:val="13"/>
        <w:spacing w:line="360" w:lineRule="auto"/>
        <w:ind w:firstLine="560" w:firstLineChars="200"/>
        <w:rPr>
          <w:rFonts w:ascii="宋体" w:hAnsi="宋体" w:cs="宋体"/>
          <w:color w:val="auto"/>
          <w:sz w:val="28"/>
          <w:szCs w:val="28"/>
          <w:highlight w:val="none"/>
        </w:rPr>
      </w:pPr>
    </w:p>
    <w:p w14:paraId="155DAFF3">
      <w:pPr>
        <w:pStyle w:val="13"/>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 工程综合说明</w:t>
      </w:r>
    </w:p>
    <w:p w14:paraId="19B37602">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详见第二部分</w:t>
      </w:r>
    </w:p>
    <w:p w14:paraId="26A6F197">
      <w:pPr>
        <w:pStyle w:val="13"/>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2.2招标方式</w:t>
      </w:r>
    </w:p>
    <w:p w14:paraId="435D1499">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为了加强对</w:t>
      </w:r>
      <w:r>
        <w:rPr>
          <w:rFonts w:hint="eastAsia" w:ascii="宋体" w:hAnsi="宋体" w:cs="宋体"/>
          <w:color w:val="auto"/>
          <w:sz w:val="28"/>
          <w:szCs w:val="28"/>
          <w:highlight w:val="none"/>
          <w:u w:val="single"/>
          <w:lang w:eastAsia="zh-CN"/>
        </w:rPr>
        <w:t>水木冲尾矿库闭库销号工程</w:t>
      </w:r>
      <w:r>
        <w:rPr>
          <w:rFonts w:hint="eastAsia" w:ascii="宋体" w:hAnsi="宋体" w:cs="宋体"/>
          <w:color w:val="auto"/>
          <w:sz w:val="28"/>
          <w:szCs w:val="28"/>
          <w:highlight w:val="none"/>
        </w:rPr>
        <w:t>的管理，提高工程建设水平和工程质量，有效控制工程投资和建设工期，充分发挥投资效益，根据《中华人民共和国招标投标法》等有关规定。经工程建设单位研究决定，采取公开招标方式，按照“公平、公正、科学、择优”的原则选择工程监理单位。</w:t>
      </w:r>
    </w:p>
    <w:p w14:paraId="760B50CF">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2.3本次招标范围、内容和概况</w:t>
      </w:r>
    </w:p>
    <w:p w14:paraId="2BDB1CEF">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详见第二部分</w:t>
      </w:r>
    </w:p>
    <w:p w14:paraId="66C09B4B">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2.4合格的投标人</w:t>
      </w:r>
    </w:p>
    <w:p w14:paraId="6E7695D7">
      <w:pPr>
        <w:spacing w:line="500" w:lineRule="exact"/>
        <w:ind w:firstLine="635" w:firstLineChars="227"/>
        <w:rPr>
          <w:rFonts w:ascii="宋体" w:hAnsi="宋体" w:cs="宋体"/>
          <w:color w:val="auto"/>
          <w:sz w:val="28"/>
          <w:szCs w:val="28"/>
          <w:highlight w:val="none"/>
        </w:rPr>
      </w:pPr>
      <w:r>
        <w:rPr>
          <w:rFonts w:hint="eastAsia" w:ascii="宋体" w:hAnsi="宋体" w:cs="宋体"/>
          <w:color w:val="auto"/>
          <w:sz w:val="28"/>
          <w:szCs w:val="28"/>
          <w:highlight w:val="none"/>
        </w:rPr>
        <w:t>详见招标公告</w:t>
      </w:r>
    </w:p>
    <w:p w14:paraId="2217C5EA">
      <w:pPr>
        <w:spacing w:line="500" w:lineRule="exact"/>
        <w:ind w:firstLine="635" w:firstLineChars="227"/>
        <w:rPr>
          <w:rFonts w:ascii="宋体" w:hAnsi="宋体" w:cs="宋体"/>
          <w:b/>
          <w:color w:val="auto"/>
          <w:sz w:val="28"/>
          <w:szCs w:val="28"/>
          <w:highlight w:val="none"/>
        </w:rPr>
      </w:pPr>
      <w:r>
        <w:rPr>
          <w:rFonts w:hint="eastAsia" w:ascii="宋体" w:hAnsi="宋体" w:cs="宋体"/>
          <w:b/>
          <w:color w:val="auto"/>
          <w:sz w:val="28"/>
          <w:szCs w:val="28"/>
          <w:highlight w:val="none"/>
        </w:rPr>
        <w:t>2.5投标范围及报价</w:t>
      </w:r>
    </w:p>
    <w:p w14:paraId="30D9804F">
      <w:pPr>
        <w:spacing w:line="500" w:lineRule="exact"/>
        <w:ind w:firstLine="560" w:firstLineChars="200"/>
        <w:rPr>
          <w:color w:val="auto"/>
          <w:sz w:val="28"/>
          <w:highlight w:val="none"/>
        </w:rPr>
      </w:pPr>
      <w:r>
        <w:rPr>
          <w:rFonts w:hint="eastAsia" w:ascii="宋体" w:hAnsi="宋体" w:cs="宋体"/>
          <w:bCs/>
          <w:color w:val="auto"/>
          <w:sz w:val="28"/>
          <w:szCs w:val="28"/>
          <w:highlight w:val="none"/>
        </w:rPr>
        <w:t>2.5.1</w:t>
      </w:r>
      <w:r>
        <w:rPr>
          <w:rFonts w:hint="eastAsia" w:ascii="宋体" w:hAnsi="宋体"/>
          <w:color w:val="auto"/>
          <w:sz w:val="28"/>
          <w:szCs w:val="28"/>
          <w:highlight w:val="none"/>
          <w:u w:val="single"/>
          <w:lang w:eastAsia="zh-CN"/>
        </w:rPr>
        <w:t>水木冲尾矿库闭库销号工程监理</w:t>
      </w:r>
      <w:r>
        <w:rPr>
          <w:rFonts w:hint="eastAsia" w:ascii="宋体" w:hAnsi="宋体" w:cs="宋体"/>
          <w:color w:val="auto"/>
          <w:sz w:val="28"/>
          <w:szCs w:val="28"/>
          <w:highlight w:val="none"/>
        </w:rPr>
        <w:t>。</w:t>
      </w:r>
      <w:r>
        <w:rPr>
          <w:rFonts w:hint="eastAsia" w:ascii="宋体" w:hAnsi="宋体"/>
          <w:color w:val="auto"/>
          <w:sz w:val="28"/>
          <w:szCs w:val="28"/>
          <w:highlight w:val="none"/>
        </w:rPr>
        <w:t>项目施工阶段全过程监理、缺陷期监理、招标文件中所载明的内容及业主安排的其他事项。</w:t>
      </w:r>
    </w:p>
    <w:p w14:paraId="1C0217CD">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2.6招标文件</w:t>
      </w:r>
    </w:p>
    <w:p w14:paraId="4AFB53DF">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2.6.1 招标文件内容：</w:t>
      </w:r>
    </w:p>
    <w:p w14:paraId="45F63A88">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（1）投标须知前附表；</w:t>
      </w:r>
    </w:p>
    <w:p w14:paraId="28074713">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（2）本文件第二至第八部分内容；</w:t>
      </w:r>
    </w:p>
    <w:p w14:paraId="390915E3">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除上述所列内容外，招标人的任何工作人员对投标人所作的任何口头解释、介绍、答复，只能供投标人参考，对招标人和投标人无任何约束力。</w:t>
      </w:r>
    </w:p>
    <w:p w14:paraId="65B95540">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2.6.2审阅招标文件</w:t>
      </w:r>
    </w:p>
    <w:p w14:paraId="4D83CD76">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投标人应认真审阅招标文件中所有的须知、条件、格式、条款、规范和图纸，如果投标人的投标文件不能满足招标文件的要求，责任由投标人自负。不符合招标文件实质性要求的投标文件都将被拒绝。</w:t>
      </w:r>
    </w:p>
    <w:p w14:paraId="12E2BAFA">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凡获得招标文件者，无论投标与否，均应对招标文件保密。</w:t>
      </w:r>
    </w:p>
    <w:p w14:paraId="39F5194D">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2.6.3招标文件的澄清</w:t>
      </w:r>
    </w:p>
    <w:p w14:paraId="28CAD16E">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投标人若对招标文件有任何疑问，应在投标截止时间前三日向招标人提出澄清要求。招标文件的澄清将在投标截止时间前三天公布在</w:t>
      </w:r>
      <w:r>
        <w:rPr>
          <w:rFonts w:hint="eastAsia" w:ascii="宋体" w:hAnsi="宋体" w:cs="宋体"/>
          <w:color w:val="auto"/>
          <w:sz w:val="28"/>
          <w:szCs w:val="28"/>
          <w:highlight w:val="none"/>
          <w:lang w:val="en-US" w:eastAsia="zh-CN"/>
        </w:rPr>
        <w:t>网站上</w:t>
      </w:r>
      <w:r>
        <w:rPr>
          <w:rFonts w:hint="eastAsia" w:ascii="宋体" w:hAnsi="宋体" w:cs="宋体"/>
          <w:color w:val="auto"/>
          <w:sz w:val="28"/>
          <w:szCs w:val="28"/>
          <w:highlight w:val="none"/>
        </w:rPr>
        <w:t>，但不指明澄清问题的来源。</w:t>
      </w:r>
    </w:p>
    <w:p w14:paraId="7AB3E7FF">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2.7招标文件的修改</w:t>
      </w:r>
    </w:p>
    <w:p w14:paraId="429EB278">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2.7.1招标文件发出后，招标人可对招标文件进行必要的修改。</w:t>
      </w:r>
    </w:p>
    <w:p w14:paraId="442B777B">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2.7.2 招标文件的修改将在</w:t>
      </w:r>
      <w:r>
        <w:rPr>
          <w:rFonts w:hint="eastAsia" w:ascii="宋体" w:hAnsi="宋体" w:cs="宋体"/>
          <w:color w:val="auto"/>
          <w:sz w:val="28"/>
          <w:szCs w:val="28"/>
          <w:highlight w:val="none"/>
          <w:lang w:val="en-US" w:eastAsia="zh-CN"/>
        </w:rPr>
        <w:t>网站上</w:t>
      </w:r>
      <w:r>
        <w:rPr>
          <w:rFonts w:hint="eastAsia" w:ascii="宋体" w:hAnsi="宋体" w:cs="宋体"/>
          <w:color w:val="auto"/>
          <w:sz w:val="28"/>
          <w:szCs w:val="28"/>
          <w:highlight w:val="none"/>
        </w:rPr>
        <w:t>发布，该修改内容作为招标文件的组成部分，具有约束作用。</w:t>
      </w:r>
    </w:p>
    <w:p w14:paraId="46BAE57B">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2.7.3当招标文件、招标文件的澄清、修改、补充等在同一内容的表述上不一致时，以最后发出的修改文件为准。</w:t>
      </w:r>
    </w:p>
    <w:p w14:paraId="1F95D1EF">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2.7.4为使投标人在编制投标文件时有充分的时间对招标文件的澄清、修改、补充等内容进行研究，如果澄清的内容影响投标文件编制的，且发出时间距投标截止时间不足</w:t>
      </w:r>
      <w:r>
        <w:rPr>
          <w:rFonts w:hint="eastAsia" w:ascii="宋体" w:hAnsi="宋体" w:cs="宋体"/>
          <w:color w:val="auto"/>
          <w:sz w:val="28"/>
          <w:szCs w:val="28"/>
          <w:highlight w:val="none"/>
          <w:lang w:val="en-US" w:eastAsia="zh-CN"/>
        </w:rPr>
        <w:t>3天</w:t>
      </w:r>
      <w:r>
        <w:rPr>
          <w:rFonts w:hint="eastAsia" w:ascii="宋体" w:hAnsi="宋体" w:cs="宋体"/>
          <w:color w:val="auto"/>
          <w:sz w:val="28"/>
          <w:szCs w:val="28"/>
          <w:highlight w:val="none"/>
        </w:rPr>
        <w:t>的，招标人将依法酌情延长投标截止时间，具体时间将在招标文件的修改、补充通知中予以明确。</w:t>
      </w:r>
    </w:p>
    <w:p w14:paraId="61E1E840">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w:t>
      </w:r>
      <w:r>
        <w:rPr>
          <w:rFonts w:hint="eastAsia" w:ascii="宋体" w:hAnsi="宋体" w:cs="宋体"/>
          <w:bCs/>
          <w:color w:val="auto"/>
          <w:sz w:val="28"/>
          <w:szCs w:val="28"/>
          <w:highlight w:val="none"/>
        </w:rPr>
        <w:t>5如果投标人在答疑时间截止前未对招标文件有关条款提出质疑，视为充分理解招标文件所有内容，一旦递交投标文件，则认为该投标人接受招标文件所有条款，不再接受对招标文件的异议或投诉。</w:t>
      </w:r>
    </w:p>
    <w:p w14:paraId="352DE034">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2.8招标文件的效力</w:t>
      </w:r>
    </w:p>
    <w:p w14:paraId="78D4139C">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招标文件是工程招标和投标的有效依据，也是中标后签定监理合同的依据，对招投标双方均具有约束力。凡不遵守招标文件规定的投标或对招标文件的实质性内容不响应者，将可能被拒绝或以无效标处理。</w:t>
      </w:r>
    </w:p>
    <w:p w14:paraId="373574BD">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2.9投标文件主要内容</w:t>
      </w:r>
    </w:p>
    <w:p w14:paraId="34ED01A0">
      <w:pPr>
        <w:tabs>
          <w:tab w:val="left" w:pos="1467"/>
        </w:tabs>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2.9.1法定代表人资格证明书（详见格式）</w:t>
      </w:r>
    </w:p>
    <w:p w14:paraId="34047225">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2.9.2授权委托书（详见格式）</w:t>
      </w:r>
    </w:p>
    <w:p w14:paraId="2030E42E">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2.9.3投标书（详见格式）</w:t>
      </w:r>
    </w:p>
    <w:p w14:paraId="6C167547">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2.9.4投标综合说明</w:t>
      </w:r>
    </w:p>
    <w:p w14:paraId="1442BB8B">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简述本工程概要，列出监理班子成员、计划配备的检测设备、办公和交通工具一览表。</w:t>
      </w:r>
    </w:p>
    <w:p w14:paraId="63FEEFEC">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简介本单位概况，营业执照（复印件）、企业资质证书（复印件）、开业时间、荣誉、资信情况、技术人员力量和技术设施、监理工程业绩及奖惩情况一览表（应附必要的复印证明材料）、监理班子的组织机构和监理人员名单一览表（姓名、年龄、性别、专业、职称、监理培训、上岗证情况、监理业绩经历，附身份证复印件）何时可进场履行职责、检测设备、并确定驻地总监及主要监理工程师，总监及主要监理工程师的简历、资历证明、资质证书、职称证书等复印件。</w:t>
      </w:r>
    </w:p>
    <w:p w14:paraId="0C6CE094">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2.9.5监理大纲</w:t>
      </w:r>
    </w:p>
    <w:p w14:paraId="6961EFAF">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2.9.5.1监理工作概况。</w:t>
      </w:r>
    </w:p>
    <w:p w14:paraId="587CE10C">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2.9.5.2监理工作内容和依据。</w:t>
      </w:r>
    </w:p>
    <w:p w14:paraId="771D82A7">
      <w:pPr>
        <w:spacing w:line="500" w:lineRule="exact"/>
        <w:ind w:firstLine="537" w:firstLineChars="192"/>
        <w:rPr>
          <w:rFonts w:ascii="宋体" w:hAnsi="宋体" w:cs="宋体"/>
          <w:color w:val="auto"/>
          <w:sz w:val="28"/>
          <w:szCs w:val="28"/>
          <w:highlight w:val="none"/>
        </w:rPr>
      </w:pPr>
      <w:r>
        <w:rPr>
          <w:rFonts w:hint="eastAsia" w:ascii="宋体" w:hAnsi="宋体" w:cs="宋体"/>
          <w:color w:val="auto"/>
          <w:sz w:val="28"/>
          <w:szCs w:val="28"/>
          <w:highlight w:val="none"/>
        </w:rPr>
        <w:t>2.9.5.3控制工程质量、进度、投资、</w:t>
      </w:r>
      <w:r>
        <w:rPr>
          <w:rFonts w:hint="eastAsia" w:ascii="宋体" w:hAnsi="宋体" w:cs="宋体"/>
          <w:color w:val="auto"/>
          <w:sz w:val="28"/>
          <w:szCs w:val="28"/>
          <w:highlight w:val="none"/>
          <w:lang w:val="en-US" w:eastAsia="zh-CN"/>
        </w:rPr>
        <w:t>环保、</w:t>
      </w:r>
      <w:r>
        <w:rPr>
          <w:rFonts w:hint="eastAsia" w:ascii="宋体" w:hAnsi="宋体" w:cs="宋体"/>
          <w:color w:val="auto"/>
          <w:sz w:val="28"/>
          <w:szCs w:val="28"/>
          <w:highlight w:val="none"/>
        </w:rPr>
        <w:t>安全文明施工及合同管理的主要手段和措施。</w:t>
      </w:r>
    </w:p>
    <w:p w14:paraId="1F0670B9">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2.9.5.4监理工作计划（应包括监理程序、职权、进场到岗计划等）。</w:t>
      </w:r>
    </w:p>
    <w:p w14:paraId="5F6CC8BB">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2.9.5.5监理人员工作守则。</w:t>
      </w:r>
    </w:p>
    <w:p w14:paraId="09076FF6">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2.9.5.6对工程施工的难点、要点和关键部分的阐明及监理实施意见。</w:t>
      </w:r>
    </w:p>
    <w:p w14:paraId="52BA8537">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2.9.5.7对本工程的其他建议、要求。</w:t>
      </w:r>
    </w:p>
    <w:p w14:paraId="0DF72283">
      <w:pPr>
        <w:tabs>
          <w:tab w:val="left" w:pos="0"/>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2.9.6监理费报价及测算依据</w:t>
      </w:r>
    </w:p>
    <w:p w14:paraId="1182998B">
      <w:pPr>
        <w:tabs>
          <w:tab w:val="left" w:pos="0"/>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投标人可根据监理工期、内容和要求，结合自身管理经验和技术水平，提出监理费费率，并说明收费依据及监理服务费调整的条件和方法。</w:t>
      </w:r>
    </w:p>
    <w:p w14:paraId="1AF40132">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2.9.7拟派本项目总监理工程师和各专业监理工程师的执业资格证书，拟派本项目监理员和见证员，以及提供上述人员的开标截止时间前半年内在该投标单位连续三个月的社保缴纳证明，且应是投标人本单位工作人员。</w:t>
      </w:r>
    </w:p>
    <w:p w14:paraId="15F5F6F1">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2.9.8总监理工程师到场到位率的承诺</w:t>
      </w:r>
    </w:p>
    <w:p w14:paraId="207E6204">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2.9.9诚信承诺书。</w:t>
      </w:r>
    </w:p>
    <w:p w14:paraId="2A7791F2">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2.9.10其他评审所需材料。</w:t>
      </w:r>
    </w:p>
    <w:p w14:paraId="7EF19A16">
      <w:pPr>
        <w:spacing w:line="500" w:lineRule="exact"/>
        <w:ind w:firstLine="560" w:firstLineChars="200"/>
        <w:rPr>
          <w:rFonts w:ascii="宋体" w:hAnsi="宋体" w:cs="宋体"/>
          <w:color w:val="auto"/>
          <w:sz w:val="28"/>
          <w:szCs w:val="28"/>
          <w:highlight w:val="none"/>
        </w:rPr>
      </w:pPr>
      <w:r>
        <w:rPr>
          <w:rFonts w:hint="eastAsia" w:ascii="宋体" w:hAnsi="宋体" w:cs="宋体"/>
          <w:b/>
          <w:color w:val="auto"/>
          <w:sz w:val="28"/>
          <w:szCs w:val="28"/>
          <w:highlight w:val="none"/>
        </w:rPr>
        <w:t>2.10投标报价</w:t>
      </w:r>
    </w:p>
    <w:p w14:paraId="583D3CE4">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2.10.1投标人应根据本招标文件和招标人所提供的图纸、资料及监理范围、内容，按照国家有关取费标准，结合自身监理能力和监理力量的投入进行竞争报价。</w:t>
      </w:r>
    </w:p>
    <w:p w14:paraId="4096BDFA">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2.10.2监理费报价应包括为完成本监理工程服务内容可能发生的各项费用，如工作、生活、交通、通讯、设备（仪器）、劳力、利润、税收等以及所有有关的管理成本。</w:t>
      </w:r>
    </w:p>
    <w:p w14:paraId="6526F1BE">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2.10.3 投标人应认真填报（附件）中的所有内容，有关报价的详细说明可在投标书的相应条款中予以说明。对没有填报的费用，招标人将不予支付，并认为此项费用已包含在报价表中的其他单价和合价中。</w:t>
      </w:r>
    </w:p>
    <w:p w14:paraId="3F0FE75A">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2.10.4 监理费率最终报价除合同条款另有规定外，不得进行调整。</w:t>
      </w:r>
    </w:p>
    <w:p w14:paraId="61B71E81">
      <w:pPr>
        <w:spacing w:line="500" w:lineRule="exact"/>
        <w:ind w:firstLine="560" w:firstLineChars="200"/>
        <w:rPr>
          <w:rFonts w:ascii="宋体" w:hAnsi="宋体" w:cs="宋体"/>
          <w:color w:val="auto"/>
          <w:sz w:val="28"/>
          <w:szCs w:val="28"/>
          <w:highlight w:val="none"/>
        </w:rPr>
      </w:pPr>
      <w:r>
        <w:rPr>
          <w:rFonts w:hint="eastAsia" w:ascii="宋体" w:hAnsi="宋体" w:cs="宋体"/>
          <w:b/>
          <w:color w:val="auto"/>
          <w:sz w:val="28"/>
          <w:szCs w:val="28"/>
          <w:highlight w:val="none"/>
        </w:rPr>
        <w:t>2.11投标保证金</w:t>
      </w:r>
    </w:p>
    <w:p w14:paraId="697677D4">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2.11.1投标人应在投标须知前附表规定的时间前提交一笔不少于前附表规定数额的投标担保，并作为其投标文件的一部分。</w:t>
      </w:r>
    </w:p>
    <w:p w14:paraId="62AE23DB">
      <w:pPr>
        <w:spacing w:line="500" w:lineRule="exact"/>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2.11.2投标人应按要求提交投标担保，保证金的形式见投标须知前附表，接受投标保证金的银行及账号详见招标公告</w:t>
      </w:r>
      <w:r>
        <w:rPr>
          <w:rFonts w:hint="eastAsia" w:ascii="宋体" w:hAnsi="宋体" w:cs="宋体"/>
          <w:b/>
          <w:color w:val="auto"/>
          <w:sz w:val="28"/>
          <w:szCs w:val="28"/>
          <w:highlight w:val="none"/>
        </w:rPr>
        <w:t>。任何未按规定提交投标保证金的投标人，将被视为自动放弃投标资格。</w:t>
      </w:r>
    </w:p>
    <w:p w14:paraId="07281997">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2.11.3对于未能按要求提交投标担保的投标，招标人将视为不响应招标文件而予以拒绝。</w:t>
      </w:r>
    </w:p>
    <w:p w14:paraId="39E118DF">
      <w:pPr>
        <w:spacing w:line="500" w:lineRule="exact"/>
        <w:ind w:firstLine="500"/>
        <w:rPr>
          <w:rFonts w:ascii="宋体" w:hAnsi="宋体" w:cs="宋体"/>
          <w:bCs/>
          <w:color w:val="auto"/>
          <w:sz w:val="28"/>
          <w:szCs w:val="28"/>
          <w:highlight w:val="none"/>
        </w:rPr>
      </w:pPr>
      <w:r>
        <w:rPr>
          <w:rFonts w:hint="eastAsia" w:ascii="宋体" w:hAnsi="宋体" w:cs="宋体"/>
          <w:color w:val="auto"/>
          <w:sz w:val="28"/>
          <w:szCs w:val="28"/>
          <w:highlight w:val="none"/>
        </w:rPr>
        <w:t>2.11.4</w:t>
      </w:r>
      <w:r>
        <w:rPr>
          <w:rFonts w:hint="eastAsia" w:ascii="宋体" w:hAnsi="宋体" w:cs="宋体"/>
          <w:bCs/>
          <w:color w:val="auto"/>
          <w:sz w:val="28"/>
          <w:szCs w:val="28"/>
          <w:highlight w:val="none"/>
        </w:rPr>
        <w:t>非预中标人的投标保证金将在中标候选人公示后五日内退还；排名第一的预中标候选人的投标保证金将在合同签订后五日内退还，其他预中标候选人的保证金在中标公告后的五日内退还。</w:t>
      </w:r>
    </w:p>
    <w:p w14:paraId="2981BD1D">
      <w:pPr>
        <w:spacing w:line="500" w:lineRule="exact"/>
        <w:ind w:firstLine="500"/>
        <w:rPr>
          <w:rFonts w:ascii="宋体" w:hAnsi="宋体" w:cs="宋体"/>
          <w:color w:val="auto"/>
          <w:sz w:val="28"/>
          <w:szCs w:val="28"/>
          <w:highlight w:val="none"/>
        </w:rPr>
      </w:pPr>
      <w:r>
        <w:rPr>
          <w:rFonts w:hint="eastAsia" w:ascii="宋体" w:hAnsi="宋体" w:cs="宋体"/>
          <w:bCs/>
          <w:color w:val="auto"/>
          <w:sz w:val="28"/>
          <w:szCs w:val="28"/>
          <w:highlight w:val="none"/>
        </w:rPr>
        <w:t>因项目开标时间推迟的原因，已转账缴入指定账户的投标保证金，投标人不得以撤回投标等理由要求在前款规定的时间前退还。</w:t>
      </w:r>
    </w:p>
    <w:p w14:paraId="2F3A5004">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w:t>
      </w:r>
      <w:r>
        <w:rPr>
          <w:rFonts w:hint="eastAsia" w:hAnsi="宋体" w:cs="宋体"/>
          <w:b/>
          <w:bCs/>
          <w:color w:val="auto"/>
          <w:sz w:val="28"/>
          <w:szCs w:val="28"/>
          <w:highlight w:val="none"/>
        </w:rPr>
        <w:t>投标人发生下列情况之一的，投标担保金将不予退还：</w:t>
      </w:r>
    </w:p>
    <w:p w14:paraId="055D5D28">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2.11.5.1</w:t>
      </w:r>
      <w:r>
        <w:rPr>
          <w:rFonts w:hint="eastAsia" w:hAnsi="宋体" w:cs="宋体"/>
          <w:bCs/>
          <w:color w:val="auto"/>
          <w:sz w:val="28"/>
          <w:szCs w:val="28"/>
          <w:highlight w:val="none"/>
        </w:rPr>
        <w:t>投标人在投标截止后至投标有效期内撤销投标文件的</w:t>
      </w:r>
      <w:r>
        <w:rPr>
          <w:rFonts w:hint="eastAsia" w:hAnsi="宋体" w:cs="宋体"/>
          <w:color w:val="auto"/>
          <w:sz w:val="28"/>
          <w:szCs w:val="28"/>
          <w:highlight w:val="none"/>
        </w:rPr>
        <w:t>；</w:t>
      </w:r>
    </w:p>
    <w:p w14:paraId="761B67D2">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2.11.5.2</w:t>
      </w:r>
      <w:r>
        <w:rPr>
          <w:rFonts w:hint="eastAsia" w:hAnsi="宋体" w:cs="宋体"/>
          <w:bCs/>
          <w:color w:val="auto"/>
          <w:sz w:val="28"/>
          <w:szCs w:val="28"/>
          <w:highlight w:val="none"/>
        </w:rPr>
        <w:t>中标人未能在规定期限内按照招标文件内容提交履约担保或签订合同协议的</w:t>
      </w:r>
      <w:r>
        <w:rPr>
          <w:rFonts w:hint="eastAsia" w:hAnsi="宋体" w:cs="宋体"/>
          <w:color w:val="auto"/>
          <w:sz w:val="28"/>
          <w:szCs w:val="28"/>
          <w:highlight w:val="none"/>
        </w:rPr>
        <w:t>；</w:t>
      </w:r>
    </w:p>
    <w:p w14:paraId="5A198DB0">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2.11.5.3投标人在招标活动中存在违规和违法行为的；</w:t>
      </w:r>
    </w:p>
    <w:p w14:paraId="7F1E5C60">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2.11.5.4投标人中标后因中标人自身原因放弃中标资格的；</w:t>
      </w:r>
    </w:p>
    <w:p w14:paraId="360F6A59">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2.11.5.5其它法定或招标文件约定不予退还投标保证金的情形。</w:t>
      </w:r>
    </w:p>
    <w:p w14:paraId="0B01C0BF">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2.12投标文件的编制与递交</w:t>
      </w:r>
    </w:p>
    <w:p w14:paraId="72EF1B38">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2.12.1 投标文件应按招标文件的规定和要求进行编制，采用打印或复印整理装订成册一式</w:t>
      </w:r>
      <w:r>
        <w:rPr>
          <w:rFonts w:hint="eastAsia" w:ascii="宋体" w:hAnsi="宋体" w:cs="宋体"/>
          <w:bCs/>
          <w:color w:val="auto"/>
          <w:sz w:val="28"/>
          <w:szCs w:val="28"/>
          <w:highlight w:val="none"/>
          <w:lang w:val="en-US" w:eastAsia="zh-CN"/>
        </w:rPr>
        <w:t>二</w:t>
      </w:r>
      <w:r>
        <w:rPr>
          <w:rFonts w:hint="eastAsia" w:ascii="宋体" w:hAnsi="宋体" w:cs="宋体"/>
          <w:bCs/>
          <w:color w:val="auto"/>
          <w:sz w:val="28"/>
          <w:szCs w:val="28"/>
          <w:highlight w:val="none"/>
        </w:rPr>
        <w:t>份，其中正本一份，副本</w:t>
      </w:r>
      <w:r>
        <w:rPr>
          <w:rFonts w:hint="eastAsia" w:ascii="宋体" w:hAnsi="宋体" w:cs="宋体"/>
          <w:bCs/>
          <w:color w:val="auto"/>
          <w:sz w:val="28"/>
          <w:szCs w:val="28"/>
          <w:highlight w:val="none"/>
          <w:lang w:val="en-US" w:eastAsia="zh-CN"/>
        </w:rPr>
        <w:t>一</w:t>
      </w:r>
      <w:r>
        <w:rPr>
          <w:rFonts w:hint="eastAsia" w:ascii="宋体" w:hAnsi="宋体" w:cs="宋体"/>
          <w:bCs/>
          <w:color w:val="auto"/>
          <w:sz w:val="28"/>
          <w:szCs w:val="28"/>
          <w:highlight w:val="none"/>
        </w:rPr>
        <w:t>份，电子投标文件</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U盘</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一份，</w:t>
      </w:r>
      <w:r>
        <w:rPr>
          <w:rFonts w:hint="eastAsia" w:ascii="宋体" w:hAnsi="宋体" w:cs="宋体"/>
          <w:b/>
          <w:bCs w:val="0"/>
          <w:color w:val="auto"/>
          <w:sz w:val="28"/>
          <w:szCs w:val="28"/>
          <w:highlight w:val="none"/>
        </w:rPr>
        <w:t>正本与副本分别装订分别密封</w:t>
      </w:r>
      <w:r>
        <w:rPr>
          <w:rFonts w:hint="eastAsia" w:ascii="宋体" w:hAnsi="宋体" w:cs="宋体"/>
          <w:bCs/>
          <w:color w:val="auto"/>
          <w:sz w:val="28"/>
          <w:szCs w:val="28"/>
          <w:highlight w:val="none"/>
        </w:rPr>
        <w:t>，并注明“正本”和“副本”字样（正副本如有差异，以正本为准）。</w:t>
      </w:r>
    </w:p>
    <w:p w14:paraId="47DC26B6">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2.12.2投标文件经法定代表人或授权代表人签字或盖章确认并加盖公章后装袋密封，在封皮表面写明招标人名称和项目名称，以及投标人名称、地址等，并在封口处由法定代表人或委托代理人签字或盖章或加盖公章。</w:t>
      </w:r>
    </w:p>
    <w:p w14:paraId="0D30B127">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2.12.3 投标人应派专人按投标须知前附表中所规定的时间将投标文件送达投标须知前附表中所规定的地点。凡超过投标截止时间送达的投标书招标人将不予受理，并按无效标进行处理。</w:t>
      </w:r>
    </w:p>
    <w:p w14:paraId="77406453">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2.12.4 所有投标文件</w:t>
      </w:r>
      <w:r>
        <w:rPr>
          <w:rFonts w:hint="eastAsia" w:ascii="宋体" w:hAnsi="宋体" w:cs="宋体"/>
          <w:bCs/>
          <w:color w:val="auto"/>
          <w:sz w:val="28"/>
          <w:szCs w:val="28"/>
          <w:highlight w:val="none"/>
          <w:lang w:val="en-US" w:eastAsia="zh-CN"/>
        </w:rPr>
        <w:t>建议</w:t>
      </w:r>
      <w:r>
        <w:rPr>
          <w:rFonts w:hint="eastAsia" w:ascii="宋体" w:hAnsi="宋体" w:cs="宋体"/>
          <w:bCs/>
          <w:color w:val="auto"/>
          <w:sz w:val="28"/>
          <w:szCs w:val="28"/>
          <w:highlight w:val="none"/>
        </w:rPr>
        <w:t>双面打印（此条不作为</w:t>
      </w:r>
      <w:r>
        <w:rPr>
          <w:rFonts w:hint="eastAsia" w:ascii="宋体" w:hAnsi="宋体" w:cs="宋体"/>
          <w:bCs/>
          <w:color w:val="auto"/>
          <w:sz w:val="28"/>
          <w:szCs w:val="28"/>
          <w:highlight w:val="none"/>
          <w:lang w:eastAsia="zh-CN"/>
        </w:rPr>
        <w:t>否决投标</w:t>
      </w:r>
      <w:r>
        <w:rPr>
          <w:rFonts w:hint="eastAsia" w:ascii="宋体" w:hAnsi="宋体" w:cs="宋体"/>
          <w:bCs/>
          <w:color w:val="auto"/>
          <w:sz w:val="28"/>
          <w:szCs w:val="28"/>
          <w:highlight w:val="none"/>
        </w:rPr>
        <w:t>条件）。</w:t>
      </w:r>
    </w:p>
    <w:p w14:paraId="26A8951B">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2.12.5投标文件的密封未响应招标文件要求的或逾期送达指定地点的，招标代理人应拒绝接受此投标文件。</w:t>
      </w:r>
    </w:p>
    <w:p w14:paraId="34B8FA7D">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2.13投标文件的效力</w:t>
      </w:r>
    </w:p>
    <w:p w14:paraId="31F877EA">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2.13.1 投标文件自投标截止之日起</w:t>
      </w:r>
      <w:r>
        <w:rPr>
          <w:rFonts w:hint="eastAsia" w:ascii="宋体" w:hAnsi="宋体" w:cs="宋体"/>
          <w:bCs/>
          <w:color w:val="auto"/>
          <w:sz w:val="28"/>
          <w:szCs w:val="28"/>
          <w:highlight w:val="none"/>
          <w:lang w:val="en-US" w:eastAsia="zh-CN"/>
        </w:rPr>
        <w:t>90</w:t>
      </w:r>
      <w:r>
        <w:rPr>
          <w:rFonts w:hint="eastAsia" w:ascii="宋体" w:hAnsi="宋体" w:cs="宋体"/>
          <w:bCs/>
          <w:color w:val="auto"/>
          <w:sz w:val="28"/>
          <w:szCs w:val="28"/>
          <w:highlight w:val="none"/>
        </w:rPr>
        <w:t>天内有效（中标签约者，有效期随合同）。在此有效期内，投标文件中的全部承诺和条款对投标人具有约束力。投标人不得自行修改或拒绝接受已经确认的承诺和条款，更不得撤回投标文件。否则按违约处理，招标人可立即扣罚投标保证金，并取消投标或中标资格。</w:t>
      </w:r>
    </w:p>
    <w:p w14:paraId="628140FA">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2.13.2在投标截止时间前投标人可对已递交的投标文件进行适当修改和补充，投标文件的修改补充函应按规定进行密封并加盖单位印章和法定代表人或其全权代表印章（签字），递交至投标须知前附表所指定地点。投标截止后递交的补充修改或声明一概不予受理。</w:t>
      </w:r>
    </w:p>
    <w:p w14:paraId="11A88E25">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2.14开标</w:t>
      </w:r>
    </w:p>
    <w:p w14:paraId="47C6628E">
      <w:pPr>
        <w:tabs>
          <w:tab w:val="left" w:pos="360"/>
          <w:tab w:val="left" w:pos="540"/>
          <w:tab w:val="left" w:pos="900"/>
          <w:tab w:val="left" w:pos="1440"/>
        </w:tabs>
        <w:spacing w:line="500" w:lineRule="exact"/>
        <w:ind w:firstLine="568"/>
        <w:rPr>
          <w:rFonts w:ascii="宋体" w:hAnsi="宋体" w:cs="宋体"/>
          <w:color w:val="auto"/>
          <w:sz w:val="28"/>
          <w:szCs w:val="28"/>
          <w:highlight w:val="none"/>
        </w:rPr>
      </w:pPr>
      <w:r>
        <w:rPr>
          <w:rFonts w:hint="eastAsia" w:ascii="宋体" w:hAnsi="宋体" w:cs="宋体"/>
          <w:color w:val="auto"/>
          <w:sz w:val="28"/>
          <w:szCs w:val="28"/>
          <w:highlight w:val="none"/>
        </w:rPr>
        <w:t>2.14.1招标人将按投标须知前附表中所规定的时间和地点进行公开开标。开标会由招标代理单位主持，当众拆封投标文件，宣读投标文件中的主要内容。投标人法定代表人或其委托代理人应在投标截止时间前（携带居民身份证，委托代理人还应携带参加开标会议的授权委托书）到开标现场参加开标会议；并对投标文件的密封情况和开标结果进行确认。</w:t>
      </w:r>
    </w:p>
    <w:p w14:paraId="772393FD">
      <w:pPr>
        <w:tabs>
          <w:tab w:val="left" w:pos="360"/>
          <w:tab w:val="left" w:pos="540"/>
          <w:tab w:val="left" w:pos="900"/>
          <w:tab w:val="left" w:pos="1440"/>
        </w:tabs>
        <w:spacing w:line="500" w:lineRule="exact"/>
        <w:ind w:firstLine="568"/>
        <w:rPr>
          <w:rFonts w:ascii="宋体" w:hAnsi="宋体" w:cs="宋体"/>
          <w:color w:val="auto"/>
          <w:sz w:val="28"/>
          <w:szCs w:val="28"/>
          <w:highlight w:val="none"/>
        </w:rPr>
      </w:pPr>
      <w:r>
        <w:rPr>
          <w:rFonts w:hint="eastAsia" w:ascii="宋体" w:hAnsi="宋体" w:cs="宋体"/>
          <w:b/>
          <w:bCs/>
          <w:color w:val="auto"/>
          <w:sz w:val="28"/>
          <w:szCs w:val="28"/>
          <w:highlight w:val="none"/>
        </w:rPr>
        <w:t>投标单位代表在回答专家的质询或对开评标活动现场提出异议的，也应按照上述要求出具相关授权和身份证明文件。</w:t>
      </w:r>
    </w:p>
    <w:p w14:paraId="6884192F">
      <w:pPr>
        <w:tabs>
          <w:tab w:val="left" w:pos="360"/>
          <w:tab w:val="left" w:pos="540"/>
          <w:tab w:val="left" w:pos="900"/>
          <w:tab w:val="left" w:pos="1440"/>
        </w:tabs>
        <w:spacing w:line="500" w:lineRule="exact"/>
        <w:ind w:firstLine="568"/>
        <w:rPr>
          <w:rFonts w:ascii="宋体" w:hAnsi="宋体" w:cs="宋体"/>
          <w:color w:val="auto"/>
          <w:sz w:val="28"/>
          <w:szCs w:val="28"/>
          <w:highlight w:val="none"/>
        </w:rPr>
      </w:pPr>
      <w:r>
        <w:rPr>
          <w:rFonts w:hint="eastAsia" w:ascii="宋体" w:hAnsi="宋体" w:cs="宋体"/>
          <w:color w:val="auto"/>
          <w:sz w:val="28"/>
          <w:szCs w:val="28"/>
          <w:highlight w:val="none"/>
        </w:rPr>
        <w:t>2.14.2评标委员会由招标人依法组建，由工作人员在开标前一小时从专家库中随机抽取产生。评标委员会对所有投标文件的内容进行符合性审核，凡不符合招标文件的有关规定或不响应招标文件实质性内容的投标文件，将予以拒绝，不进入评标范围。并且不允许投标人通过修改或撤消投标书中不符合要求的内容，使之成为具有响应性或符合要求的投标。</w:t>
      </w:r>
    </w:p>
    <w:p w14:paraId="0CC45B8E">
      <w:pPr>
        <w:tabs>
          <w:tab w:val="left" w:pos="360"/>
          <w:tab w:val="left" w:pos="540"/>
          <w:tab w:val="left" w:pos="900"/>
          <w:tab w:val="left" w:pos="1440"/>
        </w:tabs>
        <w:spacing w:line="500" w:lineRule="exact"/>
        <w:ind w:firstLine="568"/>
        <w:rPr>
          <w:rFonts w:hAnsi="宋体" w:cs="宋体"/>
          <w:color w:val="auto"/>
          <w:sz w:val="28"/>
          <w:szCs w:val="28"/>
          <w:highlight w:val="none"/>
        </w:rPr>
      </w:pPr>
      <w:r>
        <w:rPr>
          <w:rFonts w:hint="eastAsia" w:ascii="宋体" w:hAnsi="宋体" w:cs="宋体"/>
          <w:color w:val="auto"/>
          <w:sz w:val="28"/>
          <w:szCs w:val="28"/>
          <w:highlight w:val="none"/>
        </w:rPr>
        <w:t>2.14.3</w:t>
      </w:r>
      <w:r>
        <w:rPr>
          <w:rFonts w:hint="eastAsia" w:hAnsi="宋体" w:cs="宋体"/>
          <w:b/>
          <w:bCs/>
          <w:color w:val="auto"/>
          <w:sz w:val="28"/>
          <w:szCs w:val="28"/>
          <w:highlight w:val="none"/>
        </w:rPr>
        <w:t>投标文件有下列情形之一的，招标人将不予接受</w:t>
      </w:r>
      <w:r>
        <w:rPr>
          <w:rFonts w:hint="eastAsia" w:hAnsi="宋体" w:cs="宋体"/>
          <w:color w:val="auto"/>
          <w:sz w:val="28"/>
          <w:szCs w:val="28"/>
          <w:highlight w:val="none"/>
        </w:rPr>
        <w:t>：</w:t>
      </w:r>
    </w:p>
    <w:p w14:paraId="1CFAE6FF">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（1）逾期送达的或者未送达指定地点的； </w:t>
      </w:r>
    </w:p>
    <w:p w14:paraId="44645CF1">
      <w:pPr>
        <w:spacing w:line="50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（2）纸质投标文件，未按招标文件要求包装、密封及加写标记的。</w:t>
      </w:r>
    </w:p>
    <w:p w14:paraId="77A90292">
      <w:pPr>
        <w:spacing w:line="50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3</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投标人未按要求递交投标文件的。</w:t>
      </w:r>
    </w:p>
    <w:p w14:paraId="34EACD00">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2.14.4招标人或其委托的招标代理机构对开标过程进行记录并填写所有投标单位的报价、工期及项目负责人信息。</w:t>
      </w:r>
    </w:p>
    <w:p w14:paraId="148BB097">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2.15评标</w:t>
      </w:r>
    </w:p>
    <w:p w14:paraId="48307869">
      <w:pPr>
        <w:spacing w:line="500" w:lineRule="exact"/>
        <w:ind w:firstLine="560" w:firstLineChars="200"/>
        <w:rPr>
          <w:rFonts w:ascii="宋体" w:hAnsi="宋体" w:cs="宋体"/>
          <w:color w:val="auto"/>
          <w:sz w:val="28"/>
          <w:szCs w:val="28"/>
          <w:highlight w:val="none"/>
        </w:rPr>
      </w:pPr>
      <w:r>
        <w:rPr>
          <w:rFonts w:hint="eastAsia" w:ascii="宋体" w:hAnsi="宋体" w:cs="宋体"/>
          <w:b/>
          <w:color w:val="auto"/>
          <w:sz w:val="28"/>
          <w:szCs w:val="28"/>
          <w:highlight w:val="none"/>
        </w:rPr>
        <w:t>2.15</w:t>
      </w:r>
      <w:r>
        <w:rPr>
          <w:rFonts w:hint="eastAsia" w:ascii="宋体" w:hAnsi="宋体" w:cs="宋体"/>
          <w:color w:val="auto"/>
          <w:sz w:val="28"/>
          <w:szCs w:val="28"/>
          <w:highlight w:val="none"/>
        </w:rPr>
        <w:t>.1评标委员会在审核和审阅投标文件的过程中，对需进一步澄清、明确的技术、资信、管理和报价等问题，可以书面方式要求投标人对投标文件中含义不明确，对同类问题表述不一致或者有明显文字和计算错误的内容作必要的澄清、补正和说明。</w:t>
      </w:r>
    </w:p>
    <w:p w14:paraId="0C0404E7">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2.15.2投标人可对评标委员会提出的问题作出澄清和答复，但不得借以修改投标文件中的实质性内容。其记录经签字，作为投标文件的补充，对投标单位具有约束力。</w:t>
      </w:r>
    </w:p>
    <w:p w14:paraId="5A4F8EB9">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2.15.3评标采用综合评分法。评标委员会按照客观、公正、科学、择优的原则，根据招标文件确定的评标标准、办法以监理大纲、项目监理机构、人员构成、业务技术水平、监测设备、企业资质情况和业绩等多个因素为评价指标，并将各指标量化记分。</w:t>
      </w:r>
    </w:p>
    <w:p w14:paraId="5C8538C0">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2.15.4评标委员会成员按规定的评标办法进行打分后，将各部分分值相加得到最终评分。</w:t>
      </w:r>
    </w:p>
    <w:p w14:paraId="58A879D3">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2.15.5凡超出招标文件规定的，在评标时将不予考虑。 </w:t>
      </w:r>
    </w:p>
    <w:p w14:paraId="3AAE165B">
      <w:pPr>
        <w:adjustRightInd w:val="0"/>
        <w:snapToGrid w:val="0"/>
        <w:spacing w:line="360" w:lineRule="auto"/>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2.16定标</w:t>
      </w:r>
    </w:p>
    <w:p w14:paraId="1EA5FCCC">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根据评标委员会评议、评分结果，评标委员会将推荐有排序的三名中标候选人名单。报招标人备案后，向中标人发放中标通知书，并通知未中标人（见中标公示）。</w:t>
      </w:r>
    </w:p>
    <w:p w14:paraId="16BC3C46">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2.16.1 招标人对投标结果不负责解释，也不保证最低报价者中标。</w:t>
      </w:r>
    </w:p>
    <w:p w14:paraId="63BFF984">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2.16.2在招投标过程中，投标人对招标人施加影响的任何行为，都将导致取消投标或中标资格。</w:t>
      </w:r>
    </w:p>
    <w:p w14:paraId="4E58CBDB">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2.17合同签订（签约）</w:t>
      </w:r>
    </w:p>
    <w:p w14:paraId="2CF832E1">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2.17.1签订监理合同：</w:t>
      </w:r>
    </w:p>
    <w:p w14:paraId="413954D4">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中标人自接到中标通知书起</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天内，应与招标人签订本工程监理合同。监理合同必须根据国家有关经济民法典、省、市工程监理有关条例及招标文件、投标文件的要求、承诺及中标结果签订。投标人若不遵守招标文件和投标书的要约、承诺而拒签合同，招标人可取消其中标权，扣罚全部投标保证金，给招标人造成损失的还应承担赔偿责任。</w:t>
      </w:r>
    </w:p>
    <w:p w14:paraId="5F2E6BDD">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2.17.2合同经招标人和中标人法定代表人或双方授权代理人签字后生效。</w:t>
      </w:r>
    </w:p>
    <w:p w14:paraId="1D114465">
      <w:pPr>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2.17.3签署监理委托合同协议书前，中标人应按合同规定向招标人提交履约保证金。</w:t>
      </w:r>
    </w:p>
    <w:p w14:paraId="4B17141F">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2.18招标结束</w:t>
      </w:r>
    </w:p>
    <w:p w14:paraId="1365FCE4">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2.18.1中标人与招标人签订工程监理委托合同并按规定交纳了履约保证金后即为招标结束。</w:t>
      </w:r>
    </w:p>
    <w:p w14:paraId="517D4EED">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2.18.2 招标人与中标人签订工程监理委托合同后5日内，应当退还中标人的投标保证金。（在投标过程中所发生的一切费用，均由投标人自行承担，投标书恕不退还。）</w:t>
      </w:r>
    </w:p>
    <w:p w14:paraId="21410331">
      <w:pPr>
        <w:spacing w:line="500" w:lineRule="exact"/>
        <w:ind w:firstLine="560" w:firstLineChars="200"/>
        <w:jc w:val="center"/>
        <w:rPr>
          <w:rFonts w:ascii="宋体" w:hAnsi="宋体" w:cs="宋体"/>
          <w:b/>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第四部分    合同条款</w:t>
      </w:r>
    </w:p>
    <w:p w14:paraId="24F331D0">
      <w:pPr>
        <w:spacing w:line="360" w:lineRule="auto"/>
        <w:ind w:firstLine="537" w:firstLineChars="192"/>
        <w:jc w:val="center"/>
        <w:rPr>
          <w:rFonts w:ascii="宋体" w:hAnsi="宋体"/>
          <w:color w:val="auto"/>
          <w:sz w:val="28"/>
          <w:szCs w:val="28"/>
          <w:highlight w:val="none"/>
        </w:rPr>
      </w:pPr>
      <w:r>
        <w:rPr>
          <w:rFonts w:hint="eastAsia" w:ascii="宋体" w:hAnsi="宋体"/>
          <w:color w:val="auto"/>
          <w:sz w:val="28"/>
          <w:szCs w:val="28"/>
          <w:highlight w:val="none"/>
        </w:rPr>
        <w:t>本监理合同按GF—2012—0202《建设工程监理合同》（示范文本）。</w:t>
      </w:r>
    </w:p>
    <w:p w14:paraId="482180B0">
      <w:pPr>
        <w:spacing w:line="360" w:lineRule="auto"/>
        <w:ind w:firstLine="554" w:firstLineChars="198"/>
        <w:rPr>
          <w:rFonts w:ascii="宋体" w:hAnsi="宋体"/>
          <w:b/>
          <w:bCs/>
          <w:color w:val="auto"/>
          <w:sz w:val="28"/>
          <w:szCs w:val="28"/>
          <w:highlight w:val="none"/>
        </w:rPr>
      </w:pPr>
    </w:p>
    <w:p w14:paraId="0F536A1A">
      <w:pPr>
        <w:spacing w:line="360" w:lineRule="auto"/>
        <w:ind w:firstLine="554" w:firstLineChars="198"/>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建设工程委托监理合同</w:t>
      </w:r>
    </w:p>
    <w:p w14:paraId="1223ECE8">
      <w:pPr>
        <w:keepNext w:val="0"/>
        <w:keepLines w:val="0"/>
        <w:pageBreakBefore w:val="0"/>
        <w:widowControl w:val="0"/>
        <w:tabs>
          <w:tab w:val="left" w:pos="3120"/>
        </w:tabs>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第一部分  协议书</w:t>
      </w:r>
    </w:p>
    <w:p w14:paraId="484D337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163A68C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委托人（全称）：</w:t>
      </w:r>
      <w:r>
        <w:rPr>
          <w:rFonts w:hint="eastAsia" w:ascii="宋体" w:hAnsi="宋体" w:eastAsia="宋体" w:cs="宋体"/>
          <w:bCs/>
          <w:color w:val="auto"/>
          <w:sz w:val="28"/>
          <w:szCs w:val="28"/>
          <w:highlight w:val="none"/>
          <w:u w:val="single"/>
          <w:lang w:eastAsia="zh-CN"/>
        </w:rPr>
        <w:t>安徽奋迅实业有限公司</w:t>
      </w:r>
    </w:p>
    <w:p w14:paraId="1F8EA2E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监理人（全称）：</w:t>
      </w:r>
    </w:p>
    <w:p w14:paraId="7126143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根据《中华人民共和国民法典》、《中华人民共和国建筑法》及其他有关法律、法规，遵循平等、自愿、公平和诚信的原则，双方就下述工程委托监理与相关服务事项协商一致，订立本合同。</w:t>
      </w:r>
    </w:p>
    <w:p w14:paraId="65F27A9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一、工程概况</w:t>
      </w:r>
    </w:p>
    <w:p w14:paraId="2E5AC52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1.工程名称：</w:t>
      </w:r>
      <w:r>
        <w:rPr>
          <w:rFonts w:hint="eastAsia" w:ascii="宋体" w:hAnsi="宋体" w:eastAsia="宋体" w:cs="宋体"/>
          <w:color w:val="auto"/>
          <w:sz w:val="28"/>
          <w:szCs w:val="28"/>
          <w:highlight w:val="none"/>
          <w:u w:val="single"/>
          <w:lang w:eastAsia="zh-CN"/>
        </w:rPr>
        <w:t>水木冲尾矿库闭库销号工程监理</w:t>
      </w:r>
    </w:p>
    <w:p w14:paraId="737F1DD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2.工程地点：</w:t>
      </w:r>
      <w:r>
        <w:rPr>
          <w:rFonts w:hint="eastAsia" w:ascii="宋体" w:hAnsi="宋体" w:eastAsia="宋体" w:cs="宋体"/>
          <w:color w:val="auto"/>
          <w:sz w:val="28"/>
          <w:szCs w:val="28"/>
          <w:highlight w:val="none"/>
          <w:u w:val="single"/>
          <w:lang w:eastAsia="zh-CN"/>
        </w:rPr>
        <w:t>铜陵市铜官区</w:t>
      </w:r>
    </w:p>
    <w:p w14:paraId="7722E15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3.工程规模：</w:t>
      </w:r>
      <w:r>
        <w:rPr>
          <w:rFonts w:hint="eastAsia" w:ascii="宋体" w:hAnsi="宋体" w:eastAsia="宋体" w:cs="宋体"/>
          <w:color w:val="auto"/>
          <w:sz w:val="28"/>
          <w:szCs w:val="28"/>
          <w:highlight w:val="none"/>
          <w:u w:val="single"/>
        </w:rPr>
        <w:t xml:space="preserve">详见图纸； </w:t>
      </w:r>
    </w:p>
    <w:p w14:paraId="16810CB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4.工程概算投资额或建筑安装工程费：</w:t>
      </w:r>
      <w:r>
        <w:rPr>
          <w:rFonts w:hint="eastAsia" w:ascii="宋体" w:hAnsi="宋体" w:eastAsia="宋体" w:cs="宋体"/>
          <w:color w:val="auto"/>
          <w:sz w:val="28"/>
          <w:szCs w:val="28"/>
          <w:highlight w:val="none"/>
          <w:u w:val="single"/>
        </w:rPr>
        <w:t>工程概算投资额约</w:t>
      </w:r>
      <w:r>
        <w:rPr>
          <w:rFonts w:hint="eastAsia" w:ascii="宋体" w:hAnsi="宋体" w:eastAsia="宋体" w:cs="宋体"/>
          <w:color w:val="auto"/>
          <w:sz w:val="28"/>
          <w:szCs w:val="28"/>
          <w:highlight w:val="none"/>
          <w:u w:val="single"/>
          <w:lang w:eastAsia="zh-CN"/>
        </w:rPr>
        <w:t>2650 万元</w:t>
      </w:r>
      <w:r>
        <w:rPr>
          <w:rFonts w:hint="eastAsia" w:ascii="宋体" w:hAnsi="宋体" w:eastAsia="宋体" w:cs="宋体"/>
          <w:color w:val="auto"/>
          <w:sz w:val="28"/>
          <w:szCs w:val="28"/>
          <w:highlight w:val="none"/>
          <w:u w:val="single"/>
        </w:rPr>
        <w:t>。</w:t>
      </w:r>
    </w:p>
    <w:p w14:paraId="499811D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二、词语限定</w:t>
      </w:r>
    </w:p>
    <w:p w14:paraId="6F715E8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协议书中相关词语的含义与通用条件中的定义与解释相同。</w:t>
      </w:r>
    </w:p>
    <w:p w14:paraId="3B6E0D3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三、组成本合同的文件</w:t>
      </w:r>
    </w:p>
    <w:p w14:paraId="62E8317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协议书；</w:t>
      </w:r>
    </w:p>
    <w:p w14:paraId="79A9950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中标通知书（适用于招标工程）或委托书（适用于非招标工程）；</w:t>
      </w:r>
    </w:p>
    <w:p w14:paraId="0999C59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投标文件（适用于招标工程）或监理与相关服务建议书（适用于非招标工程）；</w:t>
      </w:r>
    </w:p>
    <w:p w14:paraId="436629F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 专用条件；</w:t>
      </w:r>
    </w:p>
    <w:p w14:paraId="2817092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通用条件；</w:t>
      </w:r>
    </w:p>
    <w:p w14:paraId="31BA4DB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附录，即：</w:t>
      </w:r>
    </w:p>
    <w:p w14:paraId="7DCBB73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附录A  相关服务的围和容</w:t>
      </w:r>
    </w:p>
    <w:p w14:paraId="2F01865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附录B  委托人派遣的人员和提供的</w:t>
      </w:r>
      <w:r>
        <w:rPr>
          <w:rFonts w:hint="eastAsia" w:ascii="宋体" w:hAnsi="宋体" w:eastAsia="宋体" w:cs="宋体"/>
          <w:bCs/>
          <w:color w:val="auto"/>
          <w:sz w:val="28"/>
          <w:szCs w:val="28"/>
          <w:highlight w:val="none"/>
        </w:rPr>
        <w:t>房屋、资料</w:t>
      </w:r>
      <w:r>
        <w:rPr>
          <w:rFonts w:hint="eastAsia" w:ascii="宋体" w:hAnsi="宋体" w:eastAsia="宋体" w:cs="宋体"/>
          <w:color w:val="auto"/>
          <w:sz w:val="28"/>
          <w:szCs w:val="28"/>
          <w:highlight w:val="none"/>
        </w:rPr>
        <w:t>、设备</w:t>
      </w:r>
    </w:p>
    <w:p w14:paraId="3DC650B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本合同签订后，双方依法签订的补充协议也是本合同文件的组成部分。</w:t>
      </w:r>
    </w:p>
    <w:p w14:paraId="5E47CBB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四、总监理工程师</w:t>
      </w:r>
    </w:p>
    <w:p w14:paraId="7DE2BD6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总监理工程师：，身份证号码：，注册号：。</w:t>
      </w:r>
    </w:p>
    <w:p w14:paraId="58C072B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color w:val="auto"/>
          <w:sz w:val="28"/>
          <w:szCs w:val="28"/>
          <w:highlight w:val="none"/>
          <w:u w:val="single"/>
          <w:lang w:val="en-US" w:eastAsia="zh-CN"/>
        </w:rPr>
      </w:pPr>
      <w:r>
        <w:rPr>
          <w:rFonts w:hint="eastAsia" w:ascii="宋体" w:hAnsi="宋体" w:eastAsia="宋体" w:cs="宋体"/>
          <w:b/>
          <w:color w:val="auto"/>
          <w:sz w:val="28"/>
          <w:szCs w:val="28"/>
          <w:highlight w:val="none"/>
        </w:rPr>
        <w:t>五、签约合同价与合同价格形式</w:t>
      </w:r>
    </w:p>
    <w:p w14:paraId="1ECC5D2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1、本合同为固定费率合同。合同暂定总价为人民币（大写）        元（¥           元）；（其中：不含增值税造价：   元，增值税税率：     %，增值税：       元）。</w:t>
      </w:r>
    </w:p>
    <w:p w14:paraId="496EF8D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本项目中标监理服务费不作为支付监理服务费及结算依据，实际监理服务费按费率计算，即中标监理服务费率=中标监理服务费÷建安工程投资额（2650万元）*100%（保留至小数点后两位，小数点后第三位四舍五入，例：00.00%）。</w:t>
      </w:r>
    </w:p>
    <w:p w14:paraId="193D1E8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2、付款前监理人须开具正规增值税专用发票。增值税率为6%，投标人的投标价均视同按增值税率为6%考虑。投标人中标后，最终咨询服务费结算价根据投标人开具的发票税率，按下列公式调整：最终咨询服务费结算价/1.06*(1+实际开票税率）。</w:t>
      </w:r>
    </w:p>
    <w:p w14:paraId="131772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3、监理服务费用包括但不限于监理服务期限内所有的人工费、交通费、现场差旅食宿费、现场办公配置费、其他现场经费、文件编制复印费、装帧装订费、通讯费、加班赶工费、器具使用费、报批报建报验费、企业管理费、利润、税金等全部费用及市场变化风险等，除合同另有说明外，不因任何理由予以调整。</w:t>
      </w:r>
    </w:p>
    <w:p w14:paraId="4DC7035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4、上述合同价款已包含监理人开具增值税专用发票需缴纳的税金。</w:t>
      </w:r>
    </w:p>
    <w:p w14:paraId="5C2E237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六、期限</w:t>
      </w:r>
    </w:p>
    <w:p w14:paraId="60B8F8F4">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1. </w:t>
      </w:r>
      <w:r>
        <w:rPr>
          <w:rFonts w:hint="eastAsia" w:ascii="宋体" w:hAnsi="宋体" w:eastAsia="宋体" w:cs="宋体"/>
          <w:color w:val="auto"/>
          <w:sz w:val="28"/>
          <w:szCs w:val="28"/>
          <w:highlight w:val="none"/>
        </w:rPr>
        <w:t>监理期限：</w:t>
      </w:r>
    </w:p>
    <w:p w14:paraId="11594E8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 </w:t>
      </w:r>
      <w:r>
        <w:rPr>
          <w:rFonts w:hint="eastAsia" w:ascii="宋体" w:hAnsi="宋体" w:eastAsia="宋体" w:cs="宋体"/>
          <w:color w:val="auto"/>
          <w:sz w:val="28"/>
          <w:szCs w:val="28"/>
          <w:highlight w:val="none"/>
        </w:rPr>
        <w:t>相关服务期限：</w:t>
      </w:r>
    </w:p>
    <w:p w14:paraId="0CD828F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（1）勘察阶段</w:t>
      </w:r>
      <w:r>
        <w:rPr>
          <w:rFonts w:hint="eastAsia" w:ascii="宋体" w:hAnsi="宋体" w:eastAsia="宋体" w:cs="宋体"/>
          <w:color w:val="auto"/>
          <w:sz w:val="28"/>
          <w:szCs w:val="28"/>
          <w:highlight w:val="none"/>
        </w:rPr>
        <w:t>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14:paraId="11B5E35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（2）设计阶段</w:t>
      </w:r>
      <w:r>
        <w:rPr>
          <w:rFonts w:hint="eastAsia" w:ascii="宋体" w:hAnsi="宋体" w:eastAsia="宋体" w:cs="宋体"/>
          <w:color w:val="auto"/>
          <w:sz w:val="28"/>
          <w:szCs w:val="28"/>
          <w:highlight w:val="none"/>
        </w:rPr>
        <w:t>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14:paraId="1B4BE8B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（3）保修阶段</w:t>
      </w:r>
      <w:r>
        <w:rPr>
          <w:rFonts w:hint="eastAsia" w:ascii="宋体" w:hAnsi="宋体" w:eastAsia="宋体" w:cs="宋体"/>
          <w:color w:val="auto"/>
          <w:sz w:val="28"/>
          <w:szCs w:val="28"/>
          <w:highlight w:val="none"/>
        </w:rPr>
        <w:t>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14:paraId="11E6B1B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sz w:val="28"/>
          <w:szCs w:val="28"/>
          <w:highlight w:val="none"/>
        </w:rPr>
        <w:t>其他相关服务期限自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14:paraId="137C689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七、双方承诺</w:t>
      </w:r>
    </w:p>
    <w:p w14:paraId="15E1FC4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 监理人向委托人承诺，按照本合同约定</w:t>
      </w:r>
      <w:r>
        <w:rPr>
          <w:rFonts w:hint="eastAsia" w:ascii="宋体" w:hAnsi="宋体" w:eastAsia="宋体" w:cs="宋体"/>
          <w:color w:val="auto"/>
          <w:kern w:val="0"/>
          <w:sz w:val="28"/>
          <w:szCs w:val="28"/>
          <w:highlight w:val="none"/>
        </w:rPr>
        <w:t>提供</w:t>
      </w:r>
      <w:r>
        <w:rPr>
          <w:rFonts w:hint="eastAsia" w:ascii="宋体" w:hAnsi="宋体" w:eastAsia="宋体" w:cs="宋体"/>
          <w:color w:val="auto"/>
          <w:sz w:val="28"/>
          <w:szCs w:val="28"/>
          <w:highlight w:val="none"/>
        </w:rPr>
        <w:t>监理与相关服务。</w:t>
      </w:r>
    </w:p>
    <w:p w14:paraId="070C913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委托人向监理人承诺，按照本合同约定派遣相应的人员，提供</w:t>
      </w:r>
      <w:r>
        <w:rPr>
          <w:rFonts w:hint="eastAsia" w:ascii="宋体" w:hAnsi="宋体" w:eastAsia="宋体" w:cs="宋体"/>
          <w:bCs/>
          <w:color w:val="auto"/>
          <w:sz w:val="28"/>
          <w:szCs w:val="28"/>
          <w:highlight w:val="none"/>
        </w:rPr>
        <w:t>房屋、资料</w:t>
      </w:r>
      <w:r>
        <w:rPr>
          <w:rFonts w:hint="eastAsia" w:ascii="宋体" w:hAnsi="宋体" w:eastAsia="宋体" w:cs="宋体"/>
          <w:color w:val="auto"/>
          <w:sz w:val="28"/>
          <w:szCs w:val="28"/>
          <w:highlight w:val="none"/>
        </w:rPr>
        <w:t>、设备，并按本合同约定支付酬金。</w:t>
      </w:r>
    </w:p>
    <w:p w14:paraId="1EE3954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八、合同订立</w:t>
      </w:r>
    </w:p>
    <w:p w14:paraId="6F1D16A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订立时间：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6A039F7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订立地点：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p>
    <w:p w14:paraId="602D767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本合同一式份，具有同等法律效力，双方各执</w:t>
      </w:r>
    </w:p>
    <w:p w14:paraId="48B7C41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份。</w:t>
      </w:r>
    </w:p>
    <w:p w14:paraId="03D5C96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w:t>
      </w:r>
      <w:r>
        <w:rPr>
          <w:rFonts w:hint="eastAsia" w:ascii="宋体" w:hAnsi="宋体" w:eastAsia="宋体" w:cs="宋体"/>
          <w:color w:val="auto"/>
          <w:sz w:val="28"/>
          <w:szCs w:val="28"/>
          <w:highlight w:val="none"/>
          <w:u w:val="single"/>
        </w:rPr>
        <w:t xml:space="preserve">   （盖章）     </w:t>
      </w:r>
      <w:r>
        <w:rPr>
          <w:rFonts w:hint="eastAsia" w:ascii="宋体" w:hAnsi="宋体" w:eastAsia="宋体" w:cs="宋体"/>
          <w:color w:val="auto"/>
          <w:sz w:val="28"/>
          <w:szCs w:val="28"/>
          <w:highlight w:val="none"/>
        </w:rPr>
        <w:t xml:space="preserve">   监理人：</w:t>
      </w:r>
      <w:r>
        <w:rPr>
          <w:rFonts w:hint="eastAsia" w:ascii="宋体" w:hAnsi="宋体" w:eastAsia="宋体" w:cs="宋体"/>
          <w:color w:val="auto"/>
          <w:sz w:val="28"/>
          <w:szCs w:val="28"/>
          <w:highlight w:val="none"/>
          <w:u w:val="single"/>
        </w:rPr>
        <w:t xml:space="preserve">   （盖章）    </w:t>
      </w:r>
    </w:p>
    <w:p w14:paraId="1477284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住所：     住所： </w:t>
      </w:r>
    </w:p>
    <w:p w14:paraId="21FC465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   邮政编码：</w:t>
      </w:r>
    </w:p>
    <w:p w14:paraId="31763A1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法定代表人或其授权       法定代表人或其授权</w:t>
      </w:r>
    </w:p>
    <w:p w14:paraId="6B2F31C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的代理人：</w:t>
      </w:r>
      <w:r>
        <w:rPr>
          <w:rFonts w:hint="eastAsia" w:ascii="宋体" w:hAnsi="宋体" w:eastAsia="宋体" w:cs="宋体"/>
          <w:color w:val="auto"/>
          <w:sz w:val="28"/>
          <w:szCs w:val="28"/>
          <w:highlight w:val="none"/>
          <w:u w:val="single"/>
        </w:rPr>
        <w:t xml:space="preserve">（签字）      </w:t>
      </w:r>
      <w:r>
        <w:rPr>
          <w:rFonts w:hint="eastAsia" w:ascii="宋体" w:hAnsi="宋体" w:eastAsia="宋体" w:cs="宋体"/>
          <w:color w:val="auto"/>
          <w:sz w:val="28"/>
          <w:szCs w:val="28"/>
          <w:highlight w:val="none"/>
        </w:rPr>
        <w:t xml:space="preserve">  的代理人：</w:t>
      </w:r>
      <w:r>
        <w:rPr>
          <w:rFonts w:hint="eastAsia" w:ascii="宋体" w:hAnsi="宋体" w:eastAsia="宋体" w:cs="宋体"/>
          <w:color w:val="auto"/>
          <w:sz w:val="28"/>
          <w:szCs w:val="28"/>
          <w:highlight w:val="none"/>
          <w:u w:val="single"/>
        </w:rPr>
        <w:t xml:space="preserve">（签字）          </w:t>
      </w:r>
    </w:p>
    <w:p w14:paraId="37E35FC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   开户银行：</w:t>
      </w:r>
    </w:p>
    <w:p w14:paraId="54541EB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   账号：</w:t>
      </w:r>
    </w:p>
    <w:p w14:paraId="1E68862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292C027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   传真：</w:t>
      </w:r>
    </w:p>
    <w:p w14:paraId="254F1E9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电子：   电子：</w:t>
      </w:r>
    </w:p>
    <w:p w14:paraId="55FBCA53">
      <w:pPr>
        <w:pStyle w:val="22"/>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p>
    <w:p w14:paraId="65DE03F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p>
    <w:p w14:paraId="23CDA7B8">
      <w:pPr>
        <w:pStyle w:val="22"/>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6247FEEF">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p w14:paraId="46B84D73">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color w:val="auto"/>
          <w:sz w:val="28"/>
          <w:szCs w:val="28"/>
          <w:highlight w:val="none"/>
        </w:rPr>
        <w:t>通用条件（略）</w:t>
      </w:r>
    </w:p>
    <w:p w14:paraId="61C19C9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详见《建设工程监理合同》（规范文本）GF-2012-0202第二部分通用条件。</w:t>
      </w:r>
    </w:p>
    <w:p w14:paraId="00168271">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专用条件</w:t>
      </w:r>
    </w:p>
    <w:p w14:paraId="1DA7AF0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定义与解释</w:t>
      </w:r>
    </w:p>
    <w:p w14:paraId="1C1DB5D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1.2  解释</w:t>
      </w:r>
    </w:p>
    <w:p w14:paraId="252D48E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本合同文件除使用中文外，还可用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0953B93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约定本合同文件的解释顺序为：</w:t>
      </w:r>
      <w:r>
        <w:rPr>
          <w:rFonts w:hint="eastAsia" w:ascii="宋体" w:hAnsi="宋体" w:eastAsia="宋体" w:cs="宋体"/>
          <w:color w:val="auto"/>
          <w:sz w:val="28"/>
          <w:szCs w:val="28"/>
          <w:highlight w:val="none"/>
          <w:u w:val="single"/>
        </w:rPr>
        <w:t xml:space="preserve"> 执行通用条件 </w:t>
      </w:r>
      <w:r>
        <w:rPr>
          <w:rFonts w:hint="eastAsia" w:ascii="宋体" w:hAnsi="宋体" w:eastAsia="宋体" w:cs="宋体"/>
          <w:color w:val="auto"/>
          <w:sz w:val="28"/>
          <w:szCs w:val="28"/>
          <w:highlight w:val="none"/>
        </w:rPr>
        <w:t>。</w:t>
      </w:r>
    </w:p>
    <w:p w14:paraId="2443735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 监理人义务</w:t>
      </w:r>
    </w:p>
    <w:p w14:paraId="162CE9D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监理的范围和</w:t>
      </w:r>
      <w:r>
        <w:rPr>
          <w:rFonts w:hint="eastAsia" w:ascii="宋体" w:hAnsi="宋体" w:eastAsia="宋体" w:cs="宋体"/>
          <w:bCs/>
          <w:color w:val="auto"/>
          <w:sz w:val="28"/>
          <w:szCs w:val="28"/>
          <w:highlight w:val="none"/>
        </w:rPr>
        <w:t>内容</w:t>
      </w:r>
    </w:p>
    <w:p w14:paraId="1C32A34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2.1.1 监理范围包括：</w:t>
      </w:r>
      <w:r>
        <w:rPr>
          <w:rFonts w:hint="eastAsia" w:ascii="宋体" w:hAnsi="宋体" w:eastAsia="宋体" w:cs="宋体"/>
          <w:b/>
          <w:bCs/>
          <w:color w:val="auto"/>
          <w:sz w:val="28"/>
          <w:szCs w:val="28"/>
          <w:highlight w:val="none"/>
          <w:u w:val="single"/>
        </w:rPr>
        <w:t>项目施工阶段全过程监理、缺陷责任期相关服务主要包括“三控三管一协调”，即对工程的质量、进度和投资进行控制，对工程的安全文明施工、合同和信息进行管理以及负责工程建设内部的组织协调工作。施工阶段进度控制、质量控制、投资控制、安全管理、合同管理、信息管理、组织协调、决算审计配合等。还包括保修阶段监理工作。</w:t>
      </w:r>
    </w:p>
    <w:p w14:paraId="57DF360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2.1.2 监理工作内容还包括：</w:t>
      </w:r>
      <w:r>
        <w:rPr>
          <w:rFonts w:hint="eastAsia" w:ascii="宋体" w:hAnsi="宋体" w:eastAsia="宋体" w:cs="宋体"/>
          <w:color w:val="auto"/>
          <w:sz w:val="28"/>
          <w:szCs w:val="28"/>
          <w:highlight w:val="none"/>
          <w:u w:val="single"/>
        </w:rPr>
        <w:t xml:space="preserve"> 配合业主完善前期资料及报建手续，做好项目前期统筹和施工标段划分工作，控制工程质量、进度、造价、安全和文明施工，监督管理《建设工程承包合同》的履行、信息管理，及协调发包人与工程建设有关各方面的工作关系承包人有义务协助发包人办理外围工作，主要包括但不限于以下内容：</w:t>
      </w:r>
    </w:p>
    <w:p w14:paraId="44BFB18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准备阶段</w:t>
      </w:r>
    </w:p>
    <w:p w14:paraId="5F1F6A0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（1）审查设计文件是否符合部、省鉴定批复和设计规范，施工图纸是否满足施工需要，并提出优化设计意见。核实设计概算。参加设计单位向施工单位进行的设计技术交底。</w:t>
      </w:r>
    </w:p>
    <w:p w14:paraId="52C6BA4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（2）在施工设计图纸发给施工单位之前，进行审查签证。</w:t>
      </w:r>
    </w:p>
    <w:p w14:paraId="7B15E13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（3）检查开工前施工单位的复测资料，对定位情况、中线及水准桩的设置是否稳固可靠进行监理。</w:t>
      </w:r>
    </w:p>
    <w:p w14:paraId="221EF66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（4）审查施工单位实施性施工组织设计，并对劳力、机械设备、材料等进场及布置情况，以及保证质量、安全、工期和控制造价等方面的措施进行监理，并向委托人和委托人委托的建设管理单位提出监理意见。</w:t>
      </w:r>
    </w:p>
    <w:p w14:paraId="19B5B8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（5）对施工单位质量保证体系是否健全、安全、质量技术措施是否落实进行监督、检查。</w:t>
      </w:r>
    </w:p>
    <w:p w14:paraId="1F25A17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（6）审查施工单位提报的开工报告，经委托人批准后，下达开工令。</w:t>
      </w:r>
    </w:p>
    <w:p w14:paraId="1290B04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（7）审查汇总施工图纸数量，并按工程施工承发包合同内工程数量进行列表比照，建立台帐，以便作为修订承发包合同变更设计等的依据。</w:t>
      </w:r>
    </w:p>
    <w:p w14:paraId="53DE3B6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（8）协助委托人与施工单位签订经济合同．</w:t>
      </w:r>
    </w:p>
    <w:p w14:paraId="2602B36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施工阶段</w:t>
      </w:r>
    </w:p>
    <w:p w14:paraId="24D1DE1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2.1</w:t>
      </w:r>
      <w:r>
        <w:rPr>
          <w:rFonts w:hint="eastAsia" w:ascii="宋体" w:hAnsi="宋体" w:eastAsia="宋体" w:cs="宋体"/>
          <w:b/>
          <w:color w:val="auto"/>
          <w:sz w:val="28"/>
          <w:szCs w:val="28"/>
          <w:highlight w:val="none"/>
        </w:rPr>
        <w:t>控制工程质量</w:t>
      </w:r>
    </w:p>
    <w:p w14:paraId="039B19E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2.1.1关键工序和重要部位的监理</w:t>
      </w:r>
    </w:p>
    <w:p w14:paraId="3F6D0AD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（1）对工程的关键工序和重要部位以及各个环节实行旁站监理，及时处理施工过程中的问题。</w:t>
      </w:r>
    </w:p>
    <w:p w14:paraId="2C340AC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（2）对所有隐蔽工程进行检查和记录（文字及影像），对隐蔽工程中出现的各种问题，及时监督施工单位认真处理，必要时邀请设计单位参加检查签证。</w:t>
      </w:r>
    </w:p>
    <w:p w14:paraId="020AC19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2.1.2质量检查：</w:t>
      </w:r>
    </w:p>
    <w:p w14:paraId="6F945A9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（1）对施工测量、放样等进行随机抽查和重点复查。对发现的问题要做出监理记录，并通知施工单位及时纠正。</w:t>
      </w:r>
    </w:p>
    <w:p w14:paraId="0586BB6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（2）检查工程材料和设备：</w:t>
      </w:r>
    </w:p>
    <w:p w14:paraId="2207BE4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监理人对于施工承包人采购的材料及设备严格按照施工合格规定，进行样品的检查、封样，对进场的材料及设备进行比对样品，对照施工合同、图纸、清单、及施工招标文件规定，对于发现的问题，及时书面通知委托人。</w:t>
      </w:r>
    </w:p>
    <w:p w14:paraId="23E27C6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b.监理人应对建筑材料、安装材料、成品、半成品、设备等按有关规定进行质量验收，对于不符合施工合同规定的品牌及规格的、不符合国家相关要求的，有权禁止其进入工地和投入使用。</w:t>
      </w:r>
    </w:p>
    <w:p w14:paraId="1CB4088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（3）监督施工单位严格执行施工承包合同，严格按施工规范、设计图纸要求进行监理，对工程主要部位、主要环节的施工，按有关的施工规范和质量检测规定，进行检验签证，并对施工质量做出评价。</w:t>
      </w:r>
    </w:p>
    <w:p w14:paraId="16C249B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（4）对施工工艺、劳力组织、机电设备等提出监理意见，当发现实际操作与工艺要求不符，对监理人有权进行制止，并及时通知委托人。</w:t>
      </w:r>
    </w:p>
    <w:p w14:paraId="60E0FAA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（5）对施工单位完成的各类试件按规定进行检查和抽查，对试验结果做出评价。</w:t>
      </w:r>
    </w:p>
    <w:p w14:paraId="33CBE99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（6）监督施工单位对单位工程、分项、分部工程质量评定工作资料是否齐全，并对质量评定工作做出综合评价。</w:t>
      </w:r>
    </w:p>
    <w:p w14:paraId="681C0E2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（7）检查安全防护措施及文明施工：对照各项规定、施工承包合同要求进行。对于未达标的或者存在安全隐患的，及时书面通知委托人，并出具书面意见、相关措施。</w:t>
      </w:r>
    </w:p>
    <w:p w14:paraId="4077312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（8）对施工单位的检验测试仪器设备进行全面监督，审核度量衡的定期的检验资料，保证度量资料的准确。</w:t>
      </w:r>
    </w:p>
    <w:p w14:paraId="66A653E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施工中发现一般质量事故，应立即通知施工单位返工处理，并记入工程日志本，对发生大、重大质量事故，主持事故分析会，督促施工单位及时处理，有权否定施工单位对质量事故和返工处理的意见，责成重新研究处理方案，并报委托人。</w:t>
      </w:r>
    </w:p>
    <w:p w14:paraId="0CC150E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（10）对工程的施工检查要保证不漏检，重点过程和技术复杂的过程适当增加检查次数。</w:t>
      </w:r>
    </w:p>
    <w:p w14:paraId="5BFB2E2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（11）督促并配合设计、施工单位搞好工程创优工作。</w:t>
      </w:r>
    </w:p>
    <w:p w14:paraId="52FABD6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（12）以现场监理为主成立工程质量监控小组，确保工程质量。</w:t>
      </w:r>
    </w:p>
    <w:p w14:paraId="5E7FACB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工程进度监理：</w:t>
      </w:r>
    </w:p>
    <w:p w14:paraId="785D59D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监督施工单位严格按照《施工承发包合同》规定的工期和委托人下达的季、年度施工计划组织施工，每月向委托人报告施工计划的完成情况和存在的问题。</w:t>
      </w:r>
    </w:p>
    <w:p w14:paraId="74F9D39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）审批施工方案、年度计划、月度计划的合理性及操作性。</w:t>
      </w:r>
    </w:p>
    <w:p w14:paraId="55E34FB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掌握并准确了解工程进度，如发生延误应及时分析原因提出相应措施，并报告委托人。</w:t>
      </w:r>
    </w:p>
    <w:p w14:paraId="759C386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及时处理施工单位提交的工程联系单，对工程联系单提出的问题，监理应给予明确的回复意见，并报委托人批准。</w:t>
      </w:r>
    </w:p>
    <w:p w14:paraId="6ACD1D3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控制工程造价</w:t>
      </w:r>
    </w:p>
    <w:p w14:paraId="0DB0AB8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按委托人制订的有关办法和规定办理验工计价签证，保证验工签证的各项工程质量合格、数量准确（做到不超验、不漏验）。</w:t>
      </w:r>
    </w:p>
    <w:p w14:paraId="4FC0105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建立工程进度台帐，核对工程形象进度，审核施工单位报送的工程量，按月、季向委托人报告。</w:t>
      </w:r>
    </w:p>
    <w:p w14:paraId="3CE54D6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建立验工计价台账，每季向委托人报送一次，每年末与施工单位核对清算一次，核对清算后资料报委托人。</w:t>
      </w:r>
    </w:p>
    <w:p w14:paraId="46D28C9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对不符合质量标准的工程，未经返工处理达标前不予验工，不予计量。</w:t>
      </w:r>
    </w:p>
    <w:p w14:paraId="5E6005D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组织召开现场例会，重要协调事项应事先向委托人请示报告。</w:t>
      </w:r>
    </w:p>
    <w:p w14:paraId="500F7A12">
      <w:pPr>
        <w:pStyle w:val="21"/>
        <w:keepNext w:val="0"/>
        <w:keepLines w:val="0"/>
        <w:pageBreakBefore w:val="0"/>
        <w:widowControl w:val="0"/>
        <w:kinsoku/>
        <w:wordWrap/>
        <w:overflowPunct/>
        <w:topLinePunct w:val="0"/>
        <w:bidi w:val="0"/>
        <w:adjustRightInd w:val="0"/>
        <w:snapToGrid w:val="0"/>
        <w:spacing w:after="0"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（6）参与审核工程结算，协助招标人审核工程造价，努力降低工程费用。</w:t>
      </w:r>
    </w:p>
    <w:p w14:paraId="5F9FD21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 xml:space="preserve"> 变更设计和现场经济签证</w:t>
      </w:r>
    </w:p>
    <w:p w14:paraId="5EA851B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负责对设计变更进行初审，核实变更设计增、减数量，提出初审意见，自变更发生之日七个工作日内报委托人审定，审查施工单位根据设计变更通知书编制的预算书。</w:t>
      </w:r>
    </w:p>
    <w:p w14:paraId="247C801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根据施工现场情况及时办理现场经济签证，计量核价，报委托人审定。</w:t>
      </w:r>
    </w:p>
    <w:p w14:paraId="2DE0F94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竣工验收阶段：</w:t>
      </w:r>
    </w:p>
    <w:p w14:paraId="5360D0A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督促、检查施工单位及时整理竣工文件和验收资料，并提出监理意见。</w:t>
      </w:r>
    </w:p>
    <w:p w14:paraId="30E81BC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审查施工单位的工程竣工报告，并提出工程质量评价报告，以作为验收的依据。</w:t>
      </w:r>
    </w:p>
    <w:p w14:paraId="295FD6D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参加并协助委托人组织的初验工作，提出监理意见。</w:t>
      </w:r>
    </w:p>
    <w:p w14:paraId="4D0B019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审查施工承包人提交的竣工结算申请并报甲方。</w:t>
      </w:r>
    </w:p>
    <w:p w14:paraId="39C7A16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工程决算的初步审核。</w:t>
      </w:r>
    </w:p>
    <w:p w14:paraId="13FAF54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缺陷责任期阶段</w:t>
      </w:r>
    </w:p>
    <w:p w14:paraId="6209BFA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缺陷责任期</w:t>
      </w:r>
    </w:p>
    <w:p w14:paraId="12BD971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（八）</w:t>
      </w:r>
      <w:r>
        <w:rPr>
          <w:rFonts w:hint="eastAsia" w:ascii="宋体" w:hAnsi="宋体" w:eastAsia="宋体" w:cs="宋体"/>
          <w:b/>
          <w:color w:val="auto"/>
          <w:sz w:val="28"/>
          <w:szCs w:val="28"/>
          <w:highlight w:val="none"/>
        </w:rPr>
        <w:t>备案阶段：</w:t>
      </w:r>
    </w:p>
    <w:p w14:paraId="5DABA17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）整理完整的一套监理资料报委托人存档，其余份数按主管部门要求报送</w:t>
      </w:r>
      <w:r>
        <w:rPr>
          <w:rFonts w:hint="eastAsia" w:ascii="宋体" w:hAnsi="宋体" w:eastAsia="宋体" w:cs="宋体"/>
          <w:color w:val="auto"/>
          <w:sz w:val="28"/>
          <w:szCs w:val="28"/>
          <w:highlight w:val="none"/>
        </w:rPr>
        <w:t>。</w:t>
      </w:r>
    </w:p>
    <w:p w14:paraId="0528434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协助委托人办完工程决算。</w:t>
      </w:r>
    </w:p>
    <w:p w14:paraId="52C9E27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（九）</w:t>
      </w:r>
      <w:r>
        <w:rPr>
          <w:rFonts w:hint="eastAsia" w:ascii="宋体" w:hAnsi="宋体" w:eastAsia="宋体" w:cs="宋体"/>
          <w:b/>
          <w:color w:val="auto"/>
          <w:sz w:val="28"/>
          <w:szCs w:val="28"/>
          <w:highlight w:val="none"/>
        </w:rPr>
        <w:t>其他监理工程内容及要求</w:t>
      </w:r>
    </w:p>
    <w:p w14:paraId="4AC6263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做到随叫随到，为委托人提供监理工作范围内的服务。</w:t>
      </w:r>
    </w:p>
    <w:p w14:paraId="679E460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监理工程师应把热情服务作为其应尽的职责，在实施工监理的同时，充分发挥其专业技术特长和管理方面的知识，帮助施工单位提高技术业务和管理水平，攻克技术难点献计献策。</w:t>
      </w:r>
    </w:p>
    <w:p w14:paraId="1F963A1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p>
    <w:p w14:paraId="7B5C93D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监理与相关服务依据</w:t>
      </w:r>
    </w:p>
    <w:p w14:paraId="04D28C6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pacing w:val="30"/>
          <w:kern w:val="32"/>
          <w:sz w:val="28"/>
          <w:szCs w:val="28"/>
          <w:highlight w:val="none"/>
          <w:u w:val="single"/>
        </w:rPr>
      </w:pPr>
      <w:r>
        <w:rPr>
          <w:rFonts w:hint="eastAsia" w:ascii="宋体" w:hAnsi="宋体" w:eastAsia="宋体" w:cs="宋体"/>
          <w:color w:val="auto"/>
          <w:sz w:val="28"/>
          <w:szCs w:val="28"/>
          <w:highlight w:val="none"/>
        </w:rPr>
        <w:t>2.2.1 监理依据包括：</w:t>
      </w:r>
      <w:r>
        <w:rPr>
          <w:rFonts w:hint="eastAsia" w:ascii="宋体" w:hAnsi="宋体" w:eastAsia="宋体" w:cs="宋体"/>
          <w:color w:val="auto"/>
          <w:sz w:val="28"/>
          <w:szCs w:val="28"/>
          <w:highlight w:val="none"/>
          <w:u w:val="single"/>
          <w:lang w:val="en-US" w:eastAsia="zh-CN"/>
        </w:rPr>
        <w:t>国家现行的技术标准、规范、规程及《安全生产法》、《矿山安全法》、《尾矿库闭库安全技术规程》（AQ 2006-2005）、《尾矿库安全技术规程》、《尾矿设施施工及验收规范》</w:t>
      </w:r>
      <w:r>
        <w:rPr>
          <w:rFonts w:hint="eastAsia" w:ascii="宋体" w:hAnsi="宋体" w:eastAsia="宋体" w:cs="宋体"/>
          <w:color w:val="auto"/>
          <w:sz w:val="28"/>
          <w:szCs w:val="28"/>
          <w:highlight w:val="none"/>
          <w:u w:val="single"/>
        </w:rPr>
        <w:t>、施工规范等法律、法规、标准、规范；监理合同、施工合同、施工图纸；招标投标文件、变更及省市相关批文等工程文件。</w:t>
      </w:r>
    </w:p>
    <w:p w14:paraId="47EDEF1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dstrike/>
          <w:color w:val="auto"/>
          <w:sz w:val="28"/>
          <w:szCs w:val="28"/>
          <w:highlight w:val="none"/>
        </w:rPr>
      </w:pPr>
      <w:r>
        <w:rPr>
          <w:rFonts w:hint="eastAsia" w:ascii="宋体" w:hAnsi="宋体" w:eastAsia="宋体" w:cs="宋体"/>
          <w:color w:val="auto"/>
          <w:sz w:val="28"/>
          <w:szCs w:val="28"/>
          <w:highlight w:val="none"/>
        </w:rPr>
        <w:t>2.2.2 相关服务依据包括：</w:t>
      </w:r>
      <w:r>
        <w:rPr>
          <w:rFonts w:hint="eastAsia" w:ascii="宋体" w:hAnsi="宋体" w:eastAsia="宋体" w:cs="宋体"/>
          <w:color w:val="auto"/>
          <w:sz w:val="28"/>
          <w:szCs w:val="28"/>
          <w:highlight w:val="none"/>
          <w:u w:val="single"/>
        </w:rPr>
        <w:t xml:space="preserve">  监理合同及相关协议   。</w:t>
      </w:r>
    </w:p>
    <w:p w14:paraId="17DAE5F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2.3</w:t>
      </w:r>
      <w:r>
        <w:rPr>
          <w:rFonts w:hint="eastAsia" w:ascii="宋体" w:hAnsi="宋体" w:eastAsia="宋体" w:cs="宋体"/>
          <w:color w:val="auto"/>
          <w:kern w:val="0"/>
          <w:sz w:val="28"/>
          <w:szCs w:val="28"/>
          <w:highlight w:val="none"/>
        </w:rPr>
        <w:t>项目监理机构和人员</w:t>
      </w:r>
    </w:p>
    <w:p w14:paraId="51FE207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 监理人应组建满足工作需要的项目监理机构，配备必要的检测设备。项目监理机构的主要人员应具有相应的资格条件。</w:t>
      </w:r>
    </w:p>
    <w:p w14:paraId="07EB10A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监理人应按其中标文件中“监理人员组成表”配备现场监理人员；监理人应按中标文件中“办公及检测设备投入表”在中标后</w:t>
      </w:r>
      <w:r>
        <w:rPr>
          <w:rFonts w:hint="eastAsia" w:ascii="宋体" w:hAnsi="宋体" w:eastAsia="宋体" w:cs="宋体"/>
          <w:b/>
          <w:color w:val="auto"/>
          <w:sz w:val="28"/>
          <w:szCs w:val="28"/>
          <w:highlight w:val="none"/>
          <w:u w:val="single"/>
        </w:rPr>
        <w:t xml:space="preserve"> 15 </w:t>
      </w:r>
      <w:r>
        <w:rPr>
          <w:rFonts w:hint="eastAsia" w:ascii="宋体" w:hAnsi="宋体" w:eastAsia="宋体" w:cs="宋体"/>
          <w:color w:val="auto"/>
          <w:sz w:val="28"/>
          <w:szCs w:val="28"/>
          <w:highlight w:val="none"/>
        </w:rPr>
        <w:t>个工作日内配备至施工现场。</w:t>
      </w:r>
    </w:p>
    <w:p w14:paraId="5C3BF62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明确监理方人员组成为：工程现场常驻监理人员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人（其中总监理工程师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人、总监代表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人，专业监理工程师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人、监理员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人、资料员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人（可兼任）、见证员（可兼任）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人、造价工程师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w:t>
      </w:r>
    </w:p>
    <w:p w14:paraId="6D20893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项目总监理工程师未经委托人书面确认，在工程建设期间不得兼任其他项目总监理工程师。</w:t>
      </w:r>
    </w:p>
    <w:p w14:paraId="58158F0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注：（1）如果施工单位为赶施工进度，委托人要求监理单位根据需要增加人员配备，配合施工进度，监理方需无条件配合。（费用不得额外增加）。</w:t>
      </w:r>
    </w:p>
    <w:p w14:paraId="3CD3681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（2）如在工程营造过程中发现现有监理人员工作要求及工作品质未达到委托人要求，委托人有权要求监理人无条件增加监理人员或调整监理人员，满足工程建设需要，监理费用不得增加。</w:t>
      </w:r>
    </w:p>
    <w:p w14:paraId="5C9CEF0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（3）如发生非监理方原因导致的项目停工或缓建的，经发包人同意，监理方可申报驻场人员调整计划经发包人审批后实施，中标费率不做调整。</w:t>
      </w:r>
    </w:p>
    <w:p w14:paraId="7203405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2.3.2 本合同履行过程中，监理人员应保持相对稳定，以保证服务工作的正常进行。监理人员的更换，</w:t>
      </w:r>
      <w:r>
        <w:rPr>
          <w:rFonts w:hint="eastAsia" w:ascii="宋体" w:hAnsi="宋体" w:eastAsia="宋体" w:cs="宋体"/>
          <w:color w:val="auto"/>
          <w:sz w:val="28"/>
          <w:szCs w:val="28"/>
          <w:highlight w:val="none"/>
          <w:u w:val="single"/>
        </w:rPr>
        <w:t>必须事先向委托人提供以下材料并取得委托人书面批准以后，才能派替换的监理人员进场：（1）书面请示报告；（2）替换人的身份证（复印件）、毕业证（原件）、专业技术职称证书（原件）、监理资格证书（原件）、截至更换日连续三个月以上的社保缴纳记录及其工作经历与业绩等有关证明材料，相关业绩证明材料需与招标文件要求一致。</w:t>
      </w:r>
      <w:r>
        <w:rPr>
          <w:rFonts w:hint="eastAsia" w:ascii="宋体" w:hAnsi="宋体" w:eastAsia="宋体" w:cs="宋体"/>
          <w:color w:val="auto"/>
          <w:sz w:val="28"/>
          <w:szCs w:val="28"/>
          <w:highlight w:val="none"/>
        </w:rPr>
        <w:t>对于不称职监理人员，无正当理由必须2日内离开，并在2日内人员更换到位。发包人同意更换不影响承包人承担变更监理人员的违约责任。</w:t>
      </w:r>
    </w:p>
    <w:p w14:paraId="152B606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2.3.4 </w:t>
      </w:r>
      <w:r>
        <w:rPr>
          <w:rFonts w:hint="eastAsia" w:ascii="宋体" w:hAnsi="宋体" w:eastAsia="宋体" w:cs="宋体"/>
          <w:color w:val="auto"/>
          <w:kern w:val="0"/>
          <w:sz w:val="28"/>
          <w:szCs w:val="28"/>
          <w:highlight w:val="none"/>
        </w:rPr>
        <w:t>更换监</w:t>
      </w:r>
      <w:r>
        <w:rPr>
          <w:rFonts w:hint="eastAsia" w:ascii="宋体" w:hAnsi="宋体" w:eastAsia="宋体" w:cs="宋体"/>
          <w:color w:val="auto"/>
          <w:sz w:val="28"/>
          <w:szCs w:val="28"/>
          <w:highlight w:val="none"/>
        </w:rPr>
        <w:t>理人员的其他情形：</w:t>
      </w:r>
      <w:r>
        <w:rPr>
          <w:rFonts w:hint="eastAsia" w:ascii="宋体" w:hAnsi="宋体" w:eastAsia="宋体" w:cs="宋体"/>
          <w:color w:val="auto"/>
          <w:sz w:val="28"/>
          <w:szCs w:val="28"/>
          <w:highlight w:val="none"/>
          <w:u w:val="single"/>
        </w:rPr>
        <w:t>当委托人发现监理人员不按监理合同履行监理职责，或与承包人串通给委托人或工程造成损失的，委托人有权要求监理人更换监理人员并承担由此带来的全部损失</w:t>
      </w:r>
      <w:r>
        <w:rPr>
          <w:rFonts w:hint="eastAsia" w:ascii="宋体" w:hAnsi="宋体" w:eastAsia="宋体" w:cs="宋体"/>
          <w:color w:val="auto"/>
          <w:sz w:val="28"/>
          <w:szCs w:val="28"/>
          <w:highlight w:val="none"/>
        </w:rPr>
        <w:t>。</w:t>
      </w:r>
    </w:p>
    <w:p w14:paraId="67D0B67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履行职责</w:t>
      </w:r>
    </w:p>
    <w:p w14:paraId="43F8968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2.4.3 对监理人的授权范围：</w:t>
      </w:r>
      <w:r>
        <w:rPr>
          <w:rFonts w:hint="eastAsia" w:ascii="宋体" w:hAnsi="宋体" w:eastAsia="宋体" w:cs="宋体"/>
          <w:color w:val="auto"/>
          <w:sz w:val="28"/>
          <w:szCs w:val="28"/>
          <w:highlight w:val="none"/>
          <w:u w:val="single"/>
        </w:rPr>
        <w:t>本工程施工承包范围内全部工程的施工内容进行施工阶段的监理。监理的工作内容详见专用条件2.1.2。对工程开工令、停工令、复工令的签发，所涉及到的工程造价、工程变更、验收、计量等均应以书面形式报委托人批准。</w:t>
      </w:r>
    </w:p>
    <w:p w14:paraId="1262A4B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2.4.4 监理人有权要求承包人调换其人员</w:t>
      </w:r>
      <w:r>
        <w:rPr>
          <w:rFonts w:hint="eastAsia" w:ascii="宋体" w:hAnsi="宋体" w:eastAsia="宋体" w:cs="宋体"/>
          <w:color w:val="auto"/>
          <w:sz w:val="28"/>
          <w:szCs w:val="28"/>
          <w:highlight w:val="none"/>
        </w:rPr>
        <w:t>的限制条件：</w:t>
      </w:r>
      <w:r>
        <w:rPr>
          <w:rFonts w:hint="eastAsia" w:ascii="宋体" w:hAnsi="宋体" w:eastAsia="宋体" w:cs="宋体"/>
          <w:color w:val="auto"/>
          <w:sz w:val="28"/>
          <w:szCs w:val="28"/>
          <w:highlight w:val="none"/>
          <w:u w:val="single"/>
        </w:rPr>
        <w:t xml:space="preserve"> 经发包人同意  </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 xml:space="preserve">2.5 </w:t>
      </w:r>
      <w:r>
        <w:rPr>
          <w:rFonts w:hint="eastAsia" w:ascii="宋体" w:hAnsi="宋体" w:eastAsia="宋体" w:cs="宋体"/>
          <w:color w:val="auto"/>
          <w:sz w:val="28"/>
          <w:szCs w:val="28"/>
          <w:highlight w:val="none"/>
        </w:rPr>
        <w:t>提交</w:t>
      </w:r>
      <w:r>
        <w:rPr>
          <w:rFonts w:hint="eastAsia" w:ascii="宋体" w:hAnsi="宋体" w:eastAsia="宋体" w:cs="宋体"/>
          <w:color w:val="auto"/>
          <w:kern w:val="0"/>
          <w:sz w:val="28"/>
          <w:szCs w:val="28"/>
          <w:highlight w:val="none"/>
        </w:rPr>
        <w:t>报告</w:t>
      </w:r>
    </w:p>
    <w:p w14:paraId="6A39C28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监理人应提交报告的种类(</w:t>
      </w:r>
      <w:r>
        <w:rPr>
          <w:rFonts w:hint="eastAsia" w:ascii="宋体" w:hAnsi="宋体" w:eastAsia="宋体" w:cs="宋体"/>
          <w:color w:val="auto"/>
          <w:kern w:val="0"/>
          <w:sz w:val="28"/>
          <w:szCs w:val="28"/>
          <w:highlight w:val="none"/>
        </w:rPr>
        <w:t>包括监理规划、监理月报及约定的专项报告)</w:t>
      </w:r>
      <w:r>
        <w:rPr>
          <w:rFonts w:hint="eastAsia" w:ascii="宋体" w:hAnsi="宋体" w:eastAsia="宋体" w:cs="宋体"/>
          <w:color w:val="auto"/>
          <w:sz w:val="28"/>
          <w:szCs w:val="28"/>
          <w:highlight w:val="none"/>
        </w:rPr>
        <w:t>、时间和份数</w:t>
      </w:r>
      <w:r>
        <w:rPr>
          <w:rFonts w:hint="eastAsia" w:ascii="宋体" w:hAnsi="宋体" w:eastAsia="宋体" w:cs="宋体"/>
          <w:color w:val="auto"/>
          <w:kern w:val="0"/>
          <w:sz w:val="28"/>
          <w:szCs w:val="28"/>
          <w:highlight w:val="none"/>
        </w:rPr>
        <w:t>：</w:t>
      </w:r>
      <w:r>
        <w:rPr>
          <w:rFonts w:hint="eastAsia" w:ascii="宋体" w:hAnsi="宋体" w:eastAsia="宋体" w:cs="宋体"/>
          <w:b/>
          <w:bCs/>
          <w:color w:val="auto"/>
          <w:sz w:val="28"/>
          <w:szCs w:val="28"/>
          <w:highlight w:val="none"/>
          <w:u w:val="single"/>
          <w:lang w:eastAsia="zh-CN"/>
        </w:rPr>
        <w:t>监理规划及相关监理细则、方案：开工前；监理月报：当月 5 日前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083AE4E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 监理规划，主要内容如下：</w:t>
      </w:r>
    </w:p>
    <w:p w14:paraId="4BE3405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（1）监理工作概况。</w:t>
      </w:r>
    </w:p>
    <w:p w14:paraId="068B95F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（2）监理工作内容和依据。</w:t>
      </w:r>
    </w:p>
    <w:p w14:paraId="7E3393A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（3）控制工程承包合同、质量、进度、安全文明施工、投资的主要手段和措施。</w:t>
      </w:r>
    </w:p>
    <w:p w14:paraId="43E266A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（4）监理工作计划（应包括监理程序、职权、进场到岗位计划等）。</w:t>
      </w:r>
    </w:p>
    <w:p w14:paraId="7984951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（5）监理人员工作守则。</w:t>
      </w:r>
    </w:p>
    <w:p w14:paraId="7F69592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（6）对本工程施工的难点、要点和关键部分的阐明及监理实施意见。</w:t>
      </w:r>
    </w:p>
    <w:p w14:paraId="150B7D2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（7）本工程的其他建议、要求。</w:t>
      </w:r>
    </w:p>
    <w:p w14:paraId="7492BA5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（8）总监理工程师授权书。</w:t>
      </w:r>
    </w:p>
    <w:p w14:paraId="565D4B6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（9）总监理师到位承诺书。</w:t>
      </w:r>
    </w:p>
    <w:p w14:paraId="6AF87FF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2.5.2 定期的信息文件 监理月报。主要内容如下：</w:t>
      </w:r>
    </w:p>
    <w:p w14:paraId="6D6ECF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（1）项目概述：包括项目位置、项目主要特征及合同情况简介。</w:t>
      </w:r>
    </w:p>
    <w:p w14:paraId="52CAF1E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（2）大事记。</w:t>
      </w:r>
    </w:p>
    <w:p w14:paraId="65D70C1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（3）工程进度与形象面貌。</w:t>
      </w:r>
    </w:p>
    <w:p w14:paraId="27492A3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（4）资金到位和使用情况。</w:t>
      </w:r>
    </w:p>
    <w:p w14:paraId="6CB449E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（5）质量控制：包括质量评定、质量分析、质量事故处理等情况。</w:t>
      </w:r>
    </w:p>
    <w:p w14:paraId="1395964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（6）合同执行情况：包括合同变更、索赔和违约等。</w:t>
      </w:r>
    </w:p>
    <w:p w14:paraId="38DA9FB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（7）现场会议和往来信函：包括会议记录、往来信函。</w:t>
      </w:r>
    </w:p>
    <w:p w14:paraId="43C112B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（8）监理工作：包括监理组织框图、资源投入、重要监理活动、图纸审查、发放、技术方案审查、工程需要解决的问题和其他事项。</w:t>
      </w:r>
    </w:p>
    <w:p w14:paraId="50191F0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（9）施工人员情况：包括劳动力的动态、投入的设备、组织管理和存在的问题。</w:t>
      </w:r>
    </w:p>
    <w:p w14:paraId="2794ED4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（10）安全和环境保护。</w:t>
      </w:r>
    </w:p>
    <w:p w14:paraId="17D7654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（11）进度款支付情况。</w:t>
      </w:r>
    </w:p>
    <w:p w14:paraId="2B1AE9E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（12）工程进展图片。</w:t>
      </w:r>
    </w:p>
    <w:p w14:paraId="22FD996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（13）其他。</w:t>
      </w:r>
    </w:p>
    <w:p w14:paraId="75877F7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2.5.3 不定期的监理工作报告。主要内容如下：</w:t>
      </w:r>
    </w:p>
    <w:p w14:paraId="6ED1D81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（1）关于工程优化设计、工程变 更的建议。</w:t>
      </w:r>
    </w:p>
    <w:p w14:paraId="6BDE22A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（2）投资情况分析预测及资金、资源的合理配置和投入的建议。</w:t>
      </w:r>
    </w:p>
    <w:p w14:paraId="53925F7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（3）工程进度预测分析报告。</w:t>
      </w:r>
    </w:p>
    <w:p w14:paraId="32837DD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2.5.4 日常监理文件。主要内容如下：</w:t>
      </w:r>
    </w:p>
    <w:p w14:paraId="5118C82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（1）监理日记及施工大事记。</w:t>
      </w:r>
    </w:p>
    <w:p w14:paraId="306C23E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（2）施工计划批复文件。</w:t>
      </w:r>
    </w:p>
    <w:p w14:paraId="6E6593C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（3）施工措施批复文件。</w:t>
      </w:r>
    </w:p>
    <w:p w14:paraId="1978FC3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（4）施工进度调整批复文件。</w:t>
      </w:r>
    </w:p>
    <w:p w14:paraId="42556BA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（5）进度款支付确认文件。</w:t>
      </w:r>
    </w:p>
    <w:p w14:paraId="5097B02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（6）索赔受理、调查及处理文件。</w:t>
      </w:r>
    </w:p>
    <w:p w14:paraId="66813A8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（7）监理协调会议纪要文件。</w:t>
      </w:r>
    </w:p>
    <w:p w14:paraId="29B7C55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（8）其他监理业务往来文件。</w:t>
      </w:r>
    </w:p>
    <w:p w14:paraId="36ADE19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2.5.5 文件报送时间及份数：</w:t>
      </w:r>
      <w:r>
        <w:rPr>
          <w:rFonts w:hint="eastAsia" w:ascii="宋体" w:hAnsi="宋体" w:eastAsia="宋体" w:cs="宋体"/>
          <w:color w:val="auto"/>
          <w:sz w:val="28"/>
          <w:szCs w:val="28"/>
          <w:highlight w:val="none"/>
          <w:u w:val="single"/>
        </w:rPr>
        <w:t>进场后 14 日内，提交监理规划 2 份，每月 25 日前提交监理月报 2 份</w:t>
      </w:r>
      <w:r>
        <w:rPr>
          <w:rFonts w:hint="eastAsia" w:ascii="宋体" w:hAnsi="宋体" w:eastAsia="宋体" w:cs="宋体"/>
          <w:color w:val="auto"/>
          <w:sz w:val="28"/>
          <w:szCs w:val="28"/>
          <w:highlight w:val="none"/>
        </w:rPr>
        <w:t>。</w:t>
      </w:r>
    </w:p>
    <w:p w14:paraId="3541395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2.7 使用委托人的财产</w:t>
      </w:r>
    </w:p>
    <w:p w14:paraId="7756CB2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附录B中由委托人无偿提供的房屋、设备的所有权属于：</w:t>
      </w:r>
      <w:r>
        <w:rPr>
          <w:rFonts w:hint="eastAsia" w:ascii="宋体" w:hAnsi="宋体" w:eastAsia="宋体" w:cs="宋体"/>
          <w:color w:val="auto"/>
          <w:sz w:val="28"/>
          <w:szCs w:val="28"/>
          <w:highlight w:val="none"/>
          <w:u w:val="single"/>
        </w:rPr>
        <w:t xml:space="preserve">  委托人</w:t>
      </w:r>
      <w:r>
        <w:rPr>
          <w:rFonts w:hint="eastAsia" w:ascii="宋体" w:hAnsi="宋体" w:eastAsia="宋体" w:cs="宋体"/>
          <w:color w:val="auto"/>
          <w:sz w:val="28"/>
          <w:szCs w:val="28"/>
          <w:highlight w:val="none"/>
        </w:rPr>
        <w:t>。</w:t>
      </w:r>
    </w:p>
    <w:p w14:paraId="597EDA6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监理人应在本合同终止后</w:t>
      </w:r>
      <w:r>
        <w:rPr>
          <w:rFonts w:hint="eastAsia" w:ascii="宋体" w:hAnsi="宋体" w:eastAsia="宋体" w:cs="宋体"/>
          <w:color w:val="auto"/>
          <w:sz w:val="28"/>
          <w:szCs w:val="28"/>
          <w:highlight w:val="none"/>
          <w:u w:val="single"/>
        </w:rPr>
        <w:t xml:space="preserve"> 30 </w:t>
      </w:r>
      <w:r>
        <w:rPr>
          <w:rFonts w:hint="eastAsia" w:ascii="宋体" w:hAnsi="宋体" w:eastAsia="宋体" w:cs="宋体"/>
          <w:color w:val="auto"/>
          <w:sz w:val="28"/>
          <w:szCs w:val="28"/>
          <w:highlight w:val="none"/>
        </w:rPr>
        <w:t>天内移交委托人无偿提供的房屋、设备，移交的时间和方式为：</w:t>
      </w:r>
      <w:r>
        <w:rPr>
          <w:rFonts w:hint="eastAsia" w:ascii="宋体" w:hAnsi="宋体" w:eastAsia="宋体" w:cs="宋体"/>
          <w:color w:val="auto"/>
          <w:sz w:val="28"/>
          <w:szCs w:val="28"/>
          <w:highlight w:val="none"/>
          <w:u w:val="single"/>
        </w:rPr>
        <w:t xml:space="preserve"> 双方约定时间当面移交 </w:t>
      </w:r>
      <w:r>
        <w:rPr>
          <w:rFonts w:hint="eastAsia" w:ascii="宋体" w:hAnsi="宋体" w:eastAsia="宋体" w:cs="宋体"/>
          <w:color w:val="auto"/>
          <w:sz w:val="28"/>
          <w:szCs w:val="28"/>
          <w:highlight w:val="none"/>
        </w:rPr>
        <w:t>。</w:t>
      </w:r>
    </w:p>
    <w:p w14:paraId="68C90CA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2.8履约担保</w:t>
      </w:r>
    </w:p>
    <w:p w14:paraId="5185E43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监理人提供履约保证金的形式：银行转账、银行电汇、银行保函、担保机构担保、保证保险均可。</w:t>
      </w:r>
    </w:p>
    <w:p w14:paraId="4DF5303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履约保证金的金额：为中标合同金额的2%。</w:t>
      </w:r>
    </w:p>
    <w:p w14:paraId="062FD62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履约保证金提交期限的要求：签订合同前。</w:t>
      </w:r>
    </w:p>
    <w:p w14:paraId="799C04F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 xml:space="preserve">3. 委托人义务  </w:t>
      </w:r>
    </w:p>
    <w:p w14:paraId="32C39E3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提供工作条件</w:t>
      </w:r>
    </w:p>
    <w:p w14:paraId="1232D5A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3.3.1 委托人向监理人提供：</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14:paraId="5AC64A2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3.4 委托人代表</w:t>
      </w:r>
    </w:p>
    <w:p w14:paraId="6D19B66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委托人代表为：委托方应指派驻现场的代表，负责处理监理人在实施监理过程中有关事宜以及有关单位的协调工作；</w:t>
      </w:r>
    </w:p>
    <w:p w14:paraId="38E74A1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无论是否在本合同约定的监理与相关服务工作范围内，委托人对承包人的意见或要求，可直接向承包人发出指令，监理人应予以配合。</w:t>
      </w:r>
    </w:p>
    <w:p w14:paraId="3CD4B53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答复</w:t>
      </w:r>
    </w:p>
    <w:p w14:paraId="6558CDB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对监理人书面提交并要求</w:t>
      </w:r>
      <w:r>
        <w:rPr>
          <w:rFonts w:hint="eastAsia" w:ascii="宋体" w:hAnsi="宋体" w:eastAsia="宋体" w:cs="宋体"/>
          <w:color w:val="auto"/>
          <w:sz w:val="28"/>
          <w:szCs w:val="28"/>
          <w:highlight w:val="none"/>
          <w:lang w:eastAsia="zh-CN"/>
        </w:rPr>
        <w:t>作出决定</w:t>
      </w:r>
      <w:r>
        <w:rPr>
          <w:rFonts w:hint="eastAsia" w:ascii="宋体" w:hAnsi="宋体" w:eastAsia="宋体" w:cs="宋体"/>
          <w:color w:val="auto"/>
          <w:sz w:val="28"/>
          <w:szCs w:val="28"/>
          <w:highlight w:val="none"/>
        </w:rPr>
        <w:t>的事宜，发包人未做书面答复的，视为拒绝。</w:t>
      </w:r>
    </w:p>
    <w:p w14:paraId="45CDD66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违约责任</w:t>
      </w:r>
    </w:p>
    <w:p w14:paraId="265EDB2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监理人的违约责任</w:t>
      </w:r>
    </w:p>
    <w:p w14:paraId="17D328B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未履行本合同义务的，应承担相应的责任。如果因监理人过失而造成了委托人的经济损失，该损失由监理人承担，包括但不限于委托人为主张监理人违约责任而支付的鉴定费、取证费、律师费、诉讼费等相关费用。</w:t>
      </w:r>
    </w:p>
    <w:p w14:paraId="44828A4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委托人的违约责任</w:t>
      </w:r>
    </w:p>
    <w:p w14:paraId="4044867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 委托人逾期付款利息按下列方法确定：</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14:paraId="4336CED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5. 支付</w:t>
      </w:r>
    </w:p>
    <w:p w14:paraId="5638A9E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5.1 支付货币</w:t>
      </w:r>
    </w:p>
    <w:p w14:paraId="253CB47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币种为：</w:t>
      </w:r>
      <w:r>
        <w:rPr>
          <w:rFonts w:hint="eastAsia" w:ascii="宋体" w:hAnsi="宋体" w:eastAsia="宋体" w:cs="宋体"/>
          <w:color w:val="auto"/>
          <w:kern w:val="0"/>
          <w:sz w:val="28"/>
          <w:szCs w:val="28"/>
          <w:highlight w:val="none"/>
          <w:u w:val="single"/>
        </w:rPr>
        <w:t xml:space="preserve">  人民币</w:t>
      </w:r>
      <w:r>
        <w:rPr>
          <w:rFonts w:hint="eastAsia" w:ascii="宋体" w:hAnsi="宋体" w:eastAsia="宋体" w:cs="宋体"/>
          <w:color w:val="auto"/>
          <w:kern w:val="0"/>
          <w:sz w:val="28"/>
          <w:szCs w:val="28"/>
          <w:highlight w:val="none"/>
        </w:rPr>
        <w:t xml:space="preserve"> ，比例为：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，汇率为：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 </w:t>
      </w:r>
    </w:p>
    <w:p w14:paraId="165392D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5.2委托人同意按以下的计算方法、支付时间与金额，支付监理人的酬金： </w:t>
      </w:r>
    </w:p>
    <w:p w14:paraId="4C6B5E5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付款方式： </w:t>
      </w:r>
    </w:p>
    <w:p w14:paraId="08C7BB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①本项目中标监理费不作为支付监理费及结算依据，实际监理费按费率计算，即中标监理费率=中标监理费/</w:t>
      </w:r>
      <w:r>
        <w:rPr>
          <w:rFonts w:hint="eastAsia" w:ascii="宋体" w:hAnsi="宋体" w:eastAsia="宋体" w:cs="宋体"/>
          <w:color w:val="auto"/>
          <w:sz w:val="28"/>
          <w:szCs w:val="28"/>
          <w:highlight w:val="none"/>
          <w:lang w:val="en-US" w:eastAsia="zh-CN"/>
        </w:rPr>
        <w:t>2650</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val="en-US" w:eastAsia="zh-CN"/>
        </w:rPr>
        <w:t>预估</w:t>
      </w:r>
      <w:r>
        <w:rPr>
          <w:rFonts w:hint="eastAsia" w:ascii="宋体" w:hAnsi="宋体" w:eastAsia="宋体" w:cs="宋体"/>
          <w:color w:val="auto"/>
          <w:sz w:val="28"/>
          <w:szCs w:val="28"/>
          <w:highlight w:val="none"/>
        </w:rPr>
        <w:t>建安工程费投资）*100%；</w:t>
      </w:r>
    </w:p>
    <w:p w14:paraId="1B2065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②合同监理费总额仅作为发包人向监理单位支付监理费进度款的参考依据，不作为最终监理费结算依据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最终结算监理费为中标监理费率*最终</w:t>
      </w:r>
      <w:r>
        <w:rPr>
          <w:rFonts w:hint="eastAsia" w:ascii="宋体" w:hAnsi="宋体" w:eastAsia="宋体" w:cs="宋体"/>
          <w:color w:val="auto"/>
          <w:sz w:val="28"/>
          <w:szCs w:val="28"/>
          <w:highlight w:val="none"/>
        </w:rPr>
        <w:t>工程结算价</w:t>
      </w:r>
      <w:r>
        <w:rPr>
          <w:rFonts w:hint="eastAsia" w:ascii="宋体" w:hAnsi="宋体" w:eastAsia="宋体" w:cs="宋体"/>
          <w:color w:val="auto"/>
          <w:sz w:val="28"/>
          <w:szCs w:val="28"/>
          <w:highlight w:val="none"/>
          <w:lang w:eastAsia="zh-CN"/>
        </w:rPr>
        <w:t>。</w:t>
      </w:r>
    </w:p>
    <w:p w14:paraId="79CCF9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w:t>
      </w:r>
      <w:r>
        <w:rPr>
          <w:rFonts w:hint="eastAsia" w:ascii="宋体" w:hAnsi="宋体" w:eastAsia="宋体" w:cs="宋体"/>
          <w:color w:val="auto"/>
          <w:sz w:val="28"/>
          <w:szCs w:val="28"/>
          <w:highlight w:val="none"/>
          <w:lang w:val="en-US" w:eastAsia="zh-CN"/>
        </w:rPr>
        <w:t>每月按实际完成工程量造价×中标监理费率×</w:t>
      </w:r>
      <w:r>
        <w:rPr>
          <w:rFonts w:hint="eastAsia" w:ascii="宋体" w:hAnsi="宋体" w:eastAsia="宋体" w:cs="宋体"/>
          <w:color w:val="auto"/>
          <w:sz w:val="28"/>
          <w:szCs w:val="28"/>
          <w:highlight w:val="none"/>
          <w:u w:val="single"/>
          <w:lang w:val="en-US" w:eastAsia="zh-CN"/>
        </w:rPr>
        <w:t>85%</w:t>
      </w:r>
      <w:r>
        <w:rPr>
          <w:rFonts w:hint="eastAsia" w:ascii="宋体" w:hAnsi="宋体" w:eastAsia="宋体" w:cs="宋体"/>
          <w:color w:val="auto"/>
          <w:sz w:val="28"/>
          <w:szCs w:val="28"/>
          <w:highlight w:val="none"/>
          <w:lang w:val="en-US" w:eastAsia="zh-CN"/>
        </w:rPr>
        <w:t xml:space="preserve"> 支付，工程竣工 验收合格后付至</w:t>
      </w:r>
      <w:r>
        <w:rPr>
          <w:rFonts w:hint="eastAsia" w:ascii="宋体" w:hAnsi="宋体" w:eastAsia="宋体" w:cs="宋体"/>
          <w:color w:val="auto"/>
          <w:sz w:val="28"/>
          <w:szCs w:val="28"/>
          <w:highlight w:val="none"/>
          <w:u w:val="single"/>
          <w:lang w:val="en-US" w:eastAsia="zh-CN"/>
        </w:rPr>
        <w:t>85%</w:t>
      </w:r>
      <w:r>
        <w:rPr>
          <w:rFonts w:hint="eastAsia" w:ascii="宋体" w:hAnsi="宋体" w:eastAsia="宋体" w:cs="宋体"/>
          <w:color w:val="auto"/>
          <w:sz w:val="28"/>
          <w:szCs w:val="28"/>
          <w:highlight w:val="none"/>
          <w:lang w:val="en-US" w:eastAsia="zh-CN"/>
        </w:rPr>
        <w:t xml:space="preserve"> （计算方式同上），工程完成竣工备案及工程结算审核，向招标人或招标人指定的单位书面移交完毕付至</w:t>
      </w:r>
      <w:r>
        <w:rPr>
          <w:rFonts w:hint="eastAsia" w:ascii="宋体" w:hAnsi="宋体" w:eastAsia="宋体" w:cs="宋体"/>
          <w:color w:val="auto"/>
          <w:sz w:val="28"/>
          <w:szCs w:val="28"/>
          <w:highlight w:val="none"/>
          <w:u w:val="single"/>
          <w:lang w:val="en-US" w:eastAsia="zh-CN"/>
        </w:rPr>
        <w:t>90%</w:t>
      </w:r>
      <w:r>
        <w:rPr>
          <w:rFonts w:hint="eastAsia" w:ascii="宋体" w:hAnsi="宋体" w:eastAsia="宋体" w:cs="宋体"/>
          <w:color w:val="auto"/>
          <w:sz w:val="28"/>
          <w:szCs w:val="28"/>
          <w:highlight w:val="none"/>
          <w:lang w:val="en-US" w:eastAsia="zh-CN"/>
        </w:rPr>
        <w:t xml:space="preserve">，工程竣工资料和监理资料整理并验收合格并移交给相关部门且缺陷责任期满后付至监理范围内工程结算价×中标监理费率的100%。 </w:t>
      </w:r>
    </w:p>
    <w:p w14:paraId="3A1368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注：本工程监理服务费以监理范围内最终工程竣工结算核定价为计费基数，进度款计费基础暂按施工单位中标价作为计费基础，计费费率按监理单位中标的费率。</w:t>
      </w:r>
    </w:p>
    <w:p w14:paraId="6B20B6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本工程监理费率为“固定费率”。监理单位的中标费率不因工程量的增减和政策性调整而改变。在本合同执行完毕、工程竣工验收、决算后，以最终竣工结算审定总额乘以中标监理费率确定监理服务最终实际收费。</w:t>
      </w:r>
    </w:p>
    <w:p w14:paraId="26687C6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付款条件：</w:t>
      </w:r>
    </w:p>
    <w:p w14:paraId="455D460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（1）在每次监理费用支付前，监理人需提供经委托人确认的监理人员每日出勤表作为支付凭据；</w:t>
      </w:r>
    </w:p>
    <w:p w14:paraId="651C593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（2）若监理人不能提供（1）项的支付凭据，或监理人员出勤数量记录与合同约定不同且无合理解释的，业主有权中止该节点监理费用的支付，并视情况扣除相应的监理费用并保留进一步主张违约责任的权利。</w:t>
      </w:r>
    </w:p>
    <w:p w14:paraId="09CA7DF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委托人增值税专用发票开票信息为：</w:t>
      </w:r>
    </w:p>
    <w:p w14:paraId="29E39EB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本合同款项适用税率：</w:t>
      </w:r>
      <w:r>
        <w:rPr>
          <w:rFonts w:hint="eastAsia" w:ascii="宋体" w:hAnsi="宋体" w:eastAsia="宋体" w:cs="宋体"/>
          <w:b/>
          <w:color w:val="auto"/>
          <w:sz w:val="28"/>
          <w:szCs w:val="28"/>
          <w:highlight w:val="none"/>
          <w:u w:val="single"/>
        </w:rPr>
        <w:t xml:space="preserve"> / </w:t>
      </w:r>
    </w:p>
    <w:p w14:paraId="36AE37A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发票类型：□增值税普通发票 ☑增值税专用发票</w:t>
      </w:r>
    </w:p>
    <w:p w14:paraId="49AA752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发票抬头：</w:t>
      </w:r>
    </w:p>
    <w:p w14:paraId="20180CE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一般纳税人识别号：</w:t>
      </w:r>
    </w:p>
    <w:p w14:paraId="0C12D2A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3526AD6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14:paraId="14054BD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基本户开户银行：</w:t>
      </w:r>
    </w:p>
    <w:p w14:paraId="160991D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基本户账户：</w:t>
      </w:r>
      <w:r>
        <w:rPr>
          <w:rFonts w:hint="eastAsia" w:ascii="宋体" w:hAnsi="宋体" w:eastAsia="宋体" w:cs="宋体"/>
          <w:color w:val="auto"/>
          <w:kern w:val="0"/>
          <w:sz w:val="28"/>
          <w:szCs w:val="28"/>
          <w:highlight w:val="none"/>
        </w:rPr>
        <w:t xml:space="preserve">  </w:t>
      </w:r>
    </w:p>
    <w:p w14:paraId="7A3031D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6. 合同生效、变更、暂停、解除与终止</w:t>
      </w:r>
    </w:p>
    <w:p w14:paraId="74C89DC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 生效</w:t>
      </w:r>
    </w:p>
    <w:p w14:paraId="1F926E6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本合同生效条件：</w:t>
      </w:r>
      <w:r>
        <w:rPr>
          <w:rFonts w:hint="eastAsia" w:ascii="宋体" w:hAnsi="宋体" w:eastAsia="宋体" w:cs="宋体"/>
          <w:color w:val="auto"/>
          <w:sz w:val="28"/>
          <w:szCs w:val="28"/>
          <w:highlight w:val="none"/>
          <w:u w:val="single"/>
        </w:rPr>
        <w:t xml:space="preserve">  双方签字、盖章后  </w:t>
      </w:r>
      <w:r>
        <w:rPr>
          <w:rFonts w:hint="eastAsia" w:ascii="宋体" w:hAnsi="宋体" w:eastAsia="宋体" w:cs="宋体"/>
          <w:color w:val="auto"/>
          <w:sz w:val="28"/>
          <w:szCs w:val="28"/>
          <w:highlight w:val="none"/>
        </w:rPr>
        <w:t>。</w:t>
      </w:r>
    </w:p>
    <w:p w14:paraId="057BA43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 变更</w:t>
      </w:r>
    </w:p>
    <w:p w14:paraId="6F936BF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6.2.2 除不可抗力外， 因非监理人原因导致本合同期限延长时，附加工作酬金按下列方法确定：</w:t>
      </w:r>
      <w:r>
        <w:rPr>
          <w:rFonts w:hint="eastAsia" w:ascii="宋体" w:hAnsi="宋体" w:eastAsia="宋体" w:cs="宋体"/>
          <w:b/>
          <w:color w:val="auto"/>
          <w:sz w:val="28"/>
          <w:szCs w:val="28"/>
          <w:highlight w:val="none"/>
          <w:u w:val="single"/>
        </w:rPr>
        <w:t>无延期补偿。</w:t>
      </w:r>
    </w:p>
    <w:p w14:paraId="1DDC5CD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附加工作</w:t>
      </w:r>
      <w:r>
        <w:rPr>
          <w:rFonts w:hint="eastAsia" w:ascii="宋体" w:hAnsi="宋体" w:eastAsia="宋体" w:cs="宋体"/>
          <w:color w:val="auto"/>
          <w:sz w:val="28"/>
          <w:szCs w:val="28"/>
          <w:highlight w:val="none"/>
        </w:rPr>
        <w:t>酬金</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本合同期限延长</w:t>
      </w:r>
      <w:r>
        <w:rPr>
          <w:rFonts w:hint="eastAsia" w:ascii="宋体" w:hAnsi="宋体" w:eastAsia="宋体" w:cs="宋体"/>
          <w:color w:val="auto"/>
          <w:kern w:val="0"/>
          <w:sz w:val="28"/>
          <w:szCs w:val="28"/>
          <w:highlight w:val="none"/>
        </w:rPr>
        <w:t>时间（天）×正常工作酬金÷</w:t>
      </w:r>
      <w:r>
        <w:rPr>
          <w:rFonts w:hint="eastAsia" w:ascii="宋体" w:hAnsi="宋体" w:eastAsia="宋体" w:cs="宋体"/>
          <w:color w:val="auto"/>
          <w:sz w:val="28"/>
          <w:szCs w:val="28"/>
          <w:highlight w:val="none"/>
        </w:rPr>
        <w:t>协议书约定的监理与相关服务期限</w:t>
      </w:r>
      <w:r>
        <w:rPr>
          <w:rFonts w:hint="eastAsia" w:ascii="宋体" w:hAnsi="宋体" w:eastAsia="宋体" w:cs="宋体"/>
          <w:color w:val="auto"/>
          <w:kern w:val="0"/>
          <w:sz w:val="28"/>
          <w:szCs w:val="28"/>
          <w:highlight w:val="none"/>
        </w:rPr>
        <w:t>（天）</w:t>
      </w:r>
    </w:p>
    <w:p w14:paraId="1D279A9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6.2.3附加工作酬金按下列方法确定：</w:t>
      </w:r>
      <w:r>
        <w:rPr>
          <w:rFonts w:hint="eastAsia" w:ascii="宋体" w:hAnsi="宋体" w:eastAsia="宋体" w:cs="宋体"/>
          <w:color w:val="auto"/>
          <w:sz w:val="28"/>
          <w:szCs w:val="28"/>
          <w:highlight w:val="none"/>
          <w:u w:val="single"/>
          <w:lang w:val="en-US" w:eastAsia="zh-CN"/>
        </w:rPr>
        <w:t xml:space="preserve">    /     。</w:t>
      </w:r>
    </w:p>
    <w:p w14:paraId="7430EA7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附加工作</w:t>
      </w:r>
      <w:r>
        <w:rPr>
          <w:rFonts w:hint="eastAsia" w:ascii="宋体" w:hAnsi="宋体" w:eastAsia="宋体" w:cs="宋体"/>
          <w:color w:val="auto"/>
          <w:sz w:val="28"/>
          <w:szCs w:val="28"/>
          <w:highlight w:val="none"/>
        </w:rPr>
        <w:t>酬金</w:t>
      </w:r>
      <w:r>
        <w:rPr>
          <w:rFonts w:hint="eastAsia" w:ascii="宋体" w:hAnsi="宋体" w:eastAsia="宋体" w:cs="宋体"/>
          <w:color w:val="auto"/>
          <w:kern w:val="0"/>
          <w:sz w:val="28"/>
          <w:szCs w:val="28"/>
          <w:highlight w:val="none"/>
        </w:rPr>
        <w:t>=善后工作及恢复服务的准备工作时间（天）×正常工作酬金÷</w:t>
      </w:r>
      <w:r>
        <w:rPr>
          <w:rFonts w:hint="eastAsia" w:ascii="宋体" w:hAnsi="宋体" w:eastAsia="宋体" w:cs="宋体"/>
          <w:color w:val="auto"/>
          <w:sz w:val="28"/>
          <w:szCs w:val="28"/>
          <w:highlight w:val="none"/>
        </w:rPr>
        <w:t>协议书约定的监理与相关服务期限</w:t>
      </w:r>
      <w:r>
        <w:rPr>
          <w:rFonts w:hint="eastAsia" w:ascii="宋体" w:hAnsi="宋体" w:eastAsia="宋体" w:cs="宋体"/>
          <w:color w:val="auto"/>
          <w:kern w:val="0"/>
          <w:sz w:val="28"/>
          <w:szCs w:val="28"/>
          <w:highlight w:val="none"/>
        </w:rPr>
        <w:t>（天）</w:t>
      </w:r>
    </w:p>
    <w:p w14:paraId="1E3CCA5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6.2.5 正常工作酬金增加额按下列方法确定：</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p>
    <w:p w14:paraId="122917E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正常工作酬金增加额</w:t>
      </w:r>
      <w:r>
        <w:rPr>
          <w:rFonts w:hint="eastAsia" w:ascii="宋体" w:hAnsi="宋体" w:eastAsia="宋体" w:cs="宋体"/>
          <w:color w:val="auto"/>
          <w:kern w:val="0"/>
          <w:sz w:val="28"/>
          <w:szCs w:val="28"/>
          <w:highlight w:val="none"/>
        </w:rPr>
        <w:t>=工程投资额</w:t>
      </w:r>
      <w:r>
        <w:rPr>
          <w:rFonts w:hint="eastAsia" w:ascii="宋体" w:hAnsi="宋体" w:eastAsia="宋体" w:cs="宋体"/>
          <w:color w:val="auto"/>
          <w:sz w:val="28"/>
          <w:szCs w:val="28"/>
          <w:highlight w:val="none"/>
        </w:rPr>
        <w:t>或建筑安装工程费</w:t>
      </w:r>
      <w:r>
        <w:rPr>
          <w:rFonts w:hint="eastAsia" w:ascii="宋体" w:hAnsi="宋体" w:eastAsia="宋体" w:cs="宋体"/>
          <w:color w:val="auto"/>
          <w:kern w:val="0"/>
          <w:sz w:val="28"/>
          <w:szCs w:val="28"/>
          <w:highlight w:val="none"/>
        </w:rPr>
        <w:t>增加额×正常工作酬金÷工程概算投资额（或建筑安装工程费）</w:t>
      </w:r>
    </w:p>
    <w:p w14:paraId="5A8F398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6.2.6 6.2.6 因工程规模、监理范围的变化导致监理人的正常工作量减少时，正常工作酬金调整按下列方法确定： </w:t>
      </w:r>
      <w:r>
        <w:rPr>
          <w:rFonts w:hint="eastAsia" w:ascii="宋体" w:hAnsi="宋体" w:eastAsia="宋体" w:cs="宋体"/>
          <w:color w:val="auto"/>
          <w:sz w:val="28"/>
          <w:szCs w:val="28"/>
          <w:highlight w:val="none"/>
          <w:u w:val="single"/>
        </w:rPr>
        <w:t>据实结算酬金</w:t>
      </w:r>
      <w:r>
        <w:rPr>
          <w:rFonts w:hint="eastAsia" w:ascii="宋体" w:hAnsi="宋体" w:eastAsia="宋体" w:cs="宋体"/>
          <w:color w:val="auto"/>
          <w:sz w:val="28"/>
          <w:szCs w:val="28"/>
          <w:highlight w:val="none"/>
        </w:rPr>
        <w:t>。</w:t>
      </w:r>
    </w:p>
    <w:p w14:paraId="60BA341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 暂停与解除</w:t>
      </w:r>
    </w:p>
    <w:p w14:paraId="27B572F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除通用条件外，另外补充以下条款：</w:t>
      </w:r>
    </w:p>
    <w:p w14:paraId="59981A3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委托人如果要求监理人全部或部分暂停执行监理义务或终止监理合同，则应当提前</w:t>
      </w:r>
      <w:r>
        <w:rPr>
          <w:rFonts w:hint="eastAsia" w:ascii="宋体" w:hAnsi="宋体" w:eastAsia="宋体" w:cs="宋体"/>
          <w:b/>
          <w:color w:val="auto"/>
          <w:sz w:val="28"/>
          <w:szCs w:val="28"/>
          <w:highlight w:val="none"/>
          <w:u w:val="single"/>
        </w:rPr>
        <w:t xml:space="preserve"> 30 </w:t>
      </w:r>
      <w:r>
        <w:rPr>
          <w:rFonts w:hint="eastAsia" w:ascii="宋体" w:hAnsi="宋体" w:eastAsia="宋体" w:cs="宋体"/>
          <w:color w:val="auto"/>
          <w:sz w:val="28"/>
          <w:szCs w:val="28"/>
          <w:highlight w:val="none"/>
        </w:rPr>
        <w:t>天通知监理人，监理人应当安排停止执行监理业务。暂停服务期间不计算监理费。</w:t>
      </w:r>
    </w:p>
    <w:p w14:paraId="3223AAC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7. 争议解决</w:t>
      </w:r>
    </w:p>
    <w:p w14:paraId="75D9B76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7.2 </w:t>
      </w:r>
      <w:r>
        <w:rPr>
          <w:rFonts w:hint="eastAsia" w:ascii="宋体" w:hAnsi="宋体" w:eastAsia="宋体" w:cs="宋体"/>
          <w:bCs/>
          <w:color w:val="auto"/>
          <w:sz w:val="28"/>
          <w:szCs w:val="28"/>
          <w:highlight w:val="none"/>
        </w:rPr>
        <w:t>调解</w:t>
      </w:r>
    </w:p>
    <w:p w14:paraId="0F9BD22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本合同争议进行调解时，可提交</w:t>
      </w:r>
      <w:r>
        <w:rPr>
          <w:rFonts w:hint="eastAsia" w:ascii="宋体" w:hAnsi="宋体" w:eastAsia="宋体" w:cs="宋体"/>
          <w:b/>
          <w:color w:val="auto"/>
          <w:sz w:val="28"/>
          <w:szCs w:val="28"/>
          <w:highlight w:val="none"/>
          <w:u w:val="single"/>
        </w:rPr>
        <w:t>当地建设主管理部门</w:t>
      </w:r>
      <w:r>
        <w:rPr>
          <w:rFonts w:hint="eastAsia" w:ascii="宋体" w:hAnsi="宋体" w:eastAsia="宋体" w:cs="宋体"/>
          <w:color w:val="auto"/>
          <w:sz w:val="28"/>
          <w:szCs w:val="28"/>
          <w:highlight w:val="none"/>
        </w:rPr>
        <w:t>进行调解。</w:t>
      </w:r>
    </w:p>
    <w:p w14:paraId="31FB982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7.3 </w:t>
      </w:r>
      <w:r>
        <w:rPr>
          <w:rFonts w:hint="eastAsia" w:ascii="宋体" w:hAnsi="宋体" w:eastAsia="宋体" w:cs="宋体"/>
          <w:bCs/>
          <w:color w:val="auto"/>
          <w:sz w:val="28"/>
          <w:szCs w:val="28"/>
          <w:highlight w:val="none"/>
        </w:rPr>
        <w:t>仲裁或诉讼</w:t>
      </w:r>
    </w:p>
    <w:p w14:paraId="704F5F5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合同争议的最终解决方式为下列第</w:t>
      </w:r>
      <w:r>
        <w:rPr>
          <w:rFonts w:hint="eastAsia" w:ascii="宋体" w:hAnsi="宋体" w:eastAsia="宋体" w:cs="宋体"/>
          <w:color w:val="auto"/>
          <w:sz w:val="28"/>
          <w:szCs w:val="28"/>
          <w:highlight w:val="none"/>
          <w:u w:val="single"/>
        </w:rPr>
        <w:t xml:space="preserve">  (2)   </w:t>
      </w:r>
      <w:r>
        <w:rPr>
          <w:rFonts w:hint="eastAsia" w:ascii="宋体" w:hAnsi="宋体" w:eastAsia="宋体" w:cs="宋体"/>
          <w:color w:val="auto"/>
          <w:sz w:val="28"/>
          <w:szCs w:val="28"/>
          <w:highlight w:val="none"/>
        </w:rPr>
        <w:t>种方式：</w:t>
      </w:r>
    </w:p>
    <w:p w14:paraId="03B972C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（1）提请仲裁委员会进行仲裁。</w:t>
      </w:r>
    </w:p>
    <w:p w14:paraId="7217948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w:t>
      </w:r>
      <w:r>
        <w:rPr>
          <w:rFonts w:hint="eastAsia" w:ascii="宋体" w:hAnsi="宋体" w:eastAsia="宋体" w:cs="宋体"/>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铜陵市铜官区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人民法院提起诉讼。</w:t>
      </w:r>
    </w:p>
    <w:p w14:paraId="542F555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 其他</w:t>
      </w:r>
    </w:p>
    <w:p w14:paraId="29E401E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 检测费用</w:t>
      </w:r>
    </w:p>
    <w:p w14:paraId="31AA231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委托人应在检测工作完成后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天内支付检测费用。</w:t>
      </w:r>
    </w:p>
    <w:p w14:paraId="16028F1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8.3 咨询费用</w:t>
      </w:r>
    </w:p>
    <w:p w14:paraId="549EFC0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委托人应在咨询工作完成后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天内支付咨询费用。</w:t>
      </w:r>
    </w:p>
    <w:p w14:paraId="627F01C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奖励</w:t>
      </w:r>
    </w:p>
    <w:p w14:paraId="7CB82D2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合理化建议的奖励金额按下列方法确定为：</w:t>
      </w:r>
    </w:p>
    <w:p w14:paraId="7BEA6DD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奖励金额＝工程投资节省额×奖励金额的比率；</w:t>
      </w:r>
    </w:p>
    <w:p w14:paraId="75E9779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奖励金额的比率为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7F899FE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8.6 保密</w:t>
      </w:r>
    </w:p>
    <w:p w14:paraId="4A822C6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委托人申明的保密事项和期限：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180F5B8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监理人申明的保密事项和期限：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0563699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第三方申明的保密事项和期限：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4E10001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8.7 履约保证金</w:t>
      </w:r>
    </w:p>
    <w:p w14:paraId="2CDF385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合同签订前，监理人向发包人提供合同总价的</w:t>
      </w:r>
      <w:r>
        <w:rPr>
          <w:rFonts w:hint="eastAsia" w:ascii="宋体" w:hAnsi="宋体" w:eastAsia="宋体" w:cs="宋体"/>
          <w:b/>
          <w:color w:val="auto"/>
          <w:sz w:val="28"/>
          <w:szCs w:val="28"/>
          <w:highlight w:val="none"/>
          <w:u w:val="single"/>
        </w:rPr>
        <w:t xml:space="preserve"> 2% </w:t>
      </w:r>
      <w:r>
        <w:rPr>
          <w:rFonts w:hint="eastAsia" w:ascii="宋体" w:hAnsi="宋体" w:eastAsia="宋体" w:cs="宋体"/>
          <w:color w:val="auto"/>
          <w:sz w:val="28"/>
          <w:szCs w:val="28"/>
          <w:highlight w:val="none"/>
        </w:rPr>
        <w:t>作为履约保证金，</w:t>
      </w:r>
      <w:r>
        <w:rPr>
          <w:rFonts w:hint="eastAsia" w:ascii="宋体" w:hAnsi="宋体" w:eastAsia="宋体" w:cs="宋体"/>
          <w:b/>
          <w:bCs/>
          <w:color w:val="auto"/>
          <w:sz w:val="28"/>
          <w:szCs w:val="28"/>
          <w:highlight w:val="none"/>
        </w:rPr>
        <w:t>工程竣工验收合格且无其他违约行为28日内退还保证金</w:t>
      </w:r>
      <w:r>
        <w:rPr>
          <w:rFonts w:hint="eastAsia" w:ascii="宋体" w:hAnsi="宋体" w:eastAsia="宋体" w:cs="宋体"/>
          <w:color w:val="auto"/>
          <w:sz w:val="28"/>
          <w:szCs w:val="28"/>
          <w:highlight w:val="none"/>
        </w:rPr>
        <w:t>。</w:t>
      </w:r>
    </w:p>
    <w:p w14:paraId="7540479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8.8</w:t>
      </w:r>
      <w:r>
        <w:rPr>
          <w:rFonts w:hint="eastAsia" w:ascii="宋体" w:hAnsi="宋体" w:eastAsia="宋体" w:cs="宋体"/>
          <w:bCs/>
          <w:color w:val="auto"/>
          <w:sz w:val="28"/>
          <w:szCs w:val="28"/>
          <w:highlight w:val="none"/>
        </w:rPr>
        <w:t>著作权</w:t>
      </w:r>
    </w:p>
    <w:p w14:paraId="2A0C793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监理人在本合同履行期间及本合同终止后两年内出版涉及本工程的有关监理与相关服务的资料的限制条件：</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14:paraId="5432EE1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 补充条款</w:t>
      </w:r>
    </w:p>
    <w:p w14:paraId="5C3D9463">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监理人监理组织机构专业人员必须齐全，且不得擅自更换项目监理人员。总监理工程师不得更换，如需更换，须经发包人同意，并向发包人支付10万元的违约金（不可抗力因素除外）；专业监理工程师不得更换，如需更换，须经发包人同意，并向发包人支付5万元的违约金（不可抗力因素除外）；监理人员不得更换，如需更换，须经发包人同意，并向发包人支付1万元的违约金（不可抗力因素除外）。更换的监理人员资质应不低于被更换的监理人员资质,否则监理人将向委托人承担10000元/人·月的违约金,直至更换到合乎发包人要求为止。更换的监理人员资质应不低于被更换的监理人员资质、业绩情况。</w:t>
      </w:r>
    </w:p>
    <w:p w14:paraId="2AB789F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9.2、监理人指派的项目总监及现场监理人员每月在岗不少于</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天，总监缺勤一天罚款2000元，其他人员缺勤一天罚款1000元。</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认为监理人员不满足</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要求，监理人必须更换监理人员至</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满意为止；监理人拒不更换，</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将按每人5000元/月从监理费中扣除该监理人员的费用。</w:t>
      </w:r>
    </w:p>
    <w:p w14:paraId="0B6E6C2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9.3、所有监理人员年龄不得超过60周岁，委托人认为监理人员不满足委托人要求，监理人必须更换监理人员至委托人满意为止；监理人拒不更换，委托人将按每人5000元/月从监理费中扣除该监理人员的费用。</w:t>
      </w:r>
    </w:p>
    <w:p w14:paraId="317137B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9.4、监理人按投标书承诺的人员组建监理部，监理部人员现场作业施工期间（不论夜间还是节假日）均应在岗履职（委托人不另行增加费用）；没有经过委托人的书面同意，工程竣工验收前，不更换监理部人员，否则接受委托人处罚。</w:t>
      </w:r>
    </w:p>
    <w:p w14:paraId="00140FC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.5、</w:t>
      </w:r>
      <w:r>
        <w:rPr>
          <w:rFonts w:hint="default" w:ascii="宋体" w:hAnsi="宋体" w:eastAsia="宋体" w:cs="宋体"/>
          <w:color w:val="auto"/>
          <w:sz w:val="28"/>
          <w:szCs w:val="28"/>
          <w:highlight w:val="none"/>
          <w:lang w:val="en-US" w:eastAsia="zh-CN"/>
        </w:rPr>
        <w:t>驻场监理员未请假缺席罚款10000元/次。请假必须由建设单位同意且派驻其他同等能力的监理人员替换到位后方可请假离场。</w:t>
      </w:r>
    </w:p>
    <w:p w14:paraId="7710641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、监理人按月向委托人书面通报工程进度、质量、投资、安全、文明施工和工程变更、工程资料的监控情况，及时处理现场问题，重大问题及时向委托人汇报并提出书面处理意见或建议。</w:t>
      </w:r>
    </w:p>
    <w:p w14:paraId="70CD815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、监理人现场要配备具有相应资格的工程造价工程师从事工程造价的管理，对工程建设过程中承包人所报各类预（结）算进行审核。</w:t>
      </w:r>
    </w:p>
    <w:p w14:paraId="506979E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监理人每月20日应组织月度工程进度进行验收，23日前按经验收合格的实际工程进度做好月度工程量的审核工作交委托人审核，并将当月工程相关资料一并归档，不得后补；如审核月度工程量弄虚作假、麻痹大意，委托人</w:t>
      </w:r>
      <w:r>
        <w:rPr>
          <w:rFonts w:hint="eastAsia" w:ascii="宋体" w:hAnsi="宋体" w:eastAsia="宋体" w:cs="宋体"/>
          <w:color w:val="auto"/>
          <w:sz w:val="28"/>
          <w:szCs w:val="28"/>
          <w:highlight w:val="none"/>
          <w:lang w:val="en-US" w:eastAsia="zh-CN"/>
        </w:rPr>
        <w:t>每</w:t>
      </w:r>
      <w:r>
        <w:rPr>
          <w:rFonts w:hint="eastAsia" w:ascii="宋体" w:hAnsi="宋体" w:eastAsia="宋体" w:cs="宋体"/>
          <w:color w:val="auto"/>
          <w:sz w:val="28"/>
          <w:szCs w:val="28"/>
          <w:highlight w:val="none"/>
        </w:rPr>
        <w:t>发现一次监理人承担2000元的违约金。工程竣工后30日应向委托人提交 5 套完整、规范的监理 资料，满足审计及档案馆验收要求，如监理人不提供监理资料或资料不齐全、不规范，并在规定的时间内仍未整改完善按时提交的，监理人将向委托人承担20000元的违约金，委托人有权从监理费中直接扣除。如仍拒不整改提交的，发包人有权拒付剩余监理费用。</w:t>
      </w:r>
    </w:p>
    <w:p w14:paraId="6ACAE1C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监理人与承包人串通，弄虚作假，降低工程质量，在不合格的工程验收单、建筑材料、建筑构件、配件和设备单按合格签验的，委托人可随时要求监理人更换总监理工程师或专业监理工程，监理人需承担更换监理人员的违约金，并按照《建设工程质量管理条例》规定追究监理人责任，同时委托人有 权解除合同，因此造成的损失由监理人承担。同时，因监理人与承包人弄虚作假办理变更签证资料的，一经发现，</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有权拒绝支付全部监理费，由此产生的全部责任由监理人承担，并报建设主管部门处理。</w:t>
      </w:r>
    </w:p>
    <w:p w14:paraId="6AF49E4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、监理人必须严格控制工程进度。按月度、节点、总工期分别对承包人进行考核 并出具 考核报表，因承包人原因完不成工程进度，监理人应提出整改措施并督促承包人整改。当承包人连续三个月完不成工程进度，监理人未及时提出适当措施，扣减 1 万元～ 3 万元的监理费。监理人对承包人工期考核不实，在考核中弄虚作假，按监理费总额（扣除税金）的 2%～30% 向委托人承担违约金，情节严重者，委托人将有权解除监理合同，造成损失由监理人承担。</w:t>
      </w:r>
    </w:p>
    <w:p w14:paraId="406B656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、施工期间若发包人检查时，发现文明创建、文明施工、安全措施、工程质量等未达标的，视为监理人未尽履职义务，发包人将扣除监理人 5000 元 次违约金。监理人监督整改完成后向委托人汇报，如仍旧监督整改不到位或造成其他损失的，将收取监理人履约保证金</w:t>
      </w:r>
      <w:r>
        <w:rPr>
          <w:rFonts w:hint="eastAsia" w:ascii="宋体" w:hAnsi="宋体" w:eastAsia="宋体" w:cs="宋体"/>
          <w:color w:val="auto"/>
          <w:sz w:val="28"/>
          <w:szCs w:val="28"/>
          <w:highlight w:val="none"/>
          <w:lang w:val="en-US" w:eastAsia="zh-CN"/>
        </w:rPr>
        <w:t>的</w:t>
      </w:r>
      <w:r>
        <w:rPr>
          <w:rFonts w:hint="eastAsia" w:ascii="宋体" w:hAnsi="宋体" w:eastAsia="宋体" w:cs="宋体"/>
          <w:b/>
          <w:color w:val="auto"/>
          <w:sz w:val="28"/>
          <w:szCs w:val="28"/>
          <w:highlight w:val="none"/>
          <w:u w:val="single"/>
        </w:rPr>
        <w:t xml:space="preserve"> 10% </w:t>
      </w:r>
      <w:r>
        <w:rPr>
          <w:rFonts w:hint="eastAsia" w:ascii="宋体" w:hAnsi="宋体" w:eastAsia="宋体" w:cs="宋体"/>
          <w:color w:val="auto"/>
          <w:sz w:val="28"/>
          <w:szCs w:val="28"/>
          <w:highlight w:val="none"/>
        </w:rPr>
        <w:t>作为违约金。</w:t>
      </w:r>
    </w:p>
    <w:p w14:paraId="3B450B1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、在国家、省、市等主管部门明察暗访被通报处理的，监理人将向委托人承担</w:t>
      </w:r>
      <w:r>
        <w:rPr>
          <w:rFonts w:hint="eastAsia" w:ascii="宋体" w:hAnsi="宋体" w:eastAsia="宋体" w:cs="宋体"/>
          <w:b/>
          <w:color w:val="auto"/>
          <w:sz w:val="28"/>
          <w:szCs w:val="28"/>
          <w:highlight w:val="none"/>
          <w:u w:val="single"/>
        </w:rPr>
        <w:t xml:space="preserve"> 10000 </w:t>
      </w:r>
      <w:r>
        <w:rPr>
          <w:rFonts w:hint="eastAsia" w:ascii="宋体" w:hAnsi="宋体" w:eastAsia="宋体" w:cs="宋体"/>
          <w:color w:val="auto"/>
          <w:sz w:val="28"/>
          <w:szCs w:val="28"/>
          <w:highlight w:val="none"/>
        </w:rPr>
        <w:t>元/次的违约金。</w:t>
      </w:r>
    </w:p>
    <w:p w14:paraId="54B5AE2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、监理人要加强对质量通病的控制，监理人要全程旁站，逐个检查，做好</w:t>
      </w:r>
      <w:r>
        <w:rPr>
          <w:rFonts w:hint="eastAsia" w:ascii="宋体" w:hAnsi="宋体" w:eastAsia="宋体" w:cs="宋体"/>
          <w:color w:val="auto"/>
          <w:sz w:val="28"/>
          <w:szCs w:val="28"/>
          <w:highlight w:val="none"/>
          <w:lang w:eastAsia="zh-CN"/>
        </w:rPr>
        <w:t>检查台账</w:t>
      </w:r>
      <w:r>
        <w:rPr>
          <w:rFonts w:hint="eastAsia" w:ascii="宋体" w:hAnsi="宋体" w:eastAsia="宋体" w:cs="宋体"/>
          <w:color w:val="auto"/>
          <w:sz w:val="28"/>
          <w:szCs w:val="28"/>
          <w:highlight w:val="none"/>
        </w:rPr>
        <w:t>，并标记检查人和时间。在委托人日常检查、组织的验收时，未按上述要求执行每发现一次监理人要向委托人承担 2000 元的违约金，并立即监督整改，监督整改完成后向委托人汇报，如仍旧监督整改不到位或造成其他损失的，将没收监理人履约保证金</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10%。</w:t>
      </w:r>
    </w:p>
    <w:p w14:paraId="2E2FA8A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施工现场的变更签证（包括工期、造价变更、经济签证）和清单工程量等确认应得到委托人书面同意后方可生效。监理人应对签证单、工程量清单、隐蔽工程工程量的真实性、合理性负责，同时应督促承包人每月</w:t>
      </w:r>
      <w:r>
        <w:rPr>
          <w:rFonts w:hint="eastAsia" w:ascii="宋体" w:hAnsi="宋体" w:eastAsia="宋体" w:cs="宋体"/>
          <w:b/>
          <w:color w:val="auto"/>
          <w:sz w:val="28"/>
          <w:szCs w:val="28"/>
          <w:highlight w:val="none"/>
          <w:u w:val="single"/>
        </w:rPr>
        <w:t xml:space="preserve"> 23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日前完善当月签证手续，并及时对隐蔽工程及已完成清单工程量予以确认。如发现监理人与承包人串通，弄虚作假，随意签字（甲方签字前），伪造签字，延期确认签字的，监理人向发包人承担工程监理费的</w:t>
      </w:r>
      <w:r>
        <w:rPr>
          <w:rFonts w:hint="eastAsia" w:ascii="宋体" w:hAnsi="宋体" w:eastAsia="宋体" w:cs="宋体"/>
          <w:b/>
          <w:color w:val="auto"/>
          <w:sz w:val="28"/>
          <w:szCs w:val="28"/>
          <w:highlight w:val="none"/>
          <w:u w:val="single"/>
        </w:rPr>
        <w:t xml:space="preserve"> 5% </w:t>
      </w:r>
      <w:r>
        <w:rPr>
          <w:rFonts w:hint="eastAsia" w:ascii="宋体" w:hAnsi="宋体" w:eastAsia="宋体" w:cs="宋体"/>
          <w:color w:val="auto"/>
          <w:sz w:val="28"/>
          <w:szCs w:val="28"/>
          <w:highlight w:val="none"/>
        </w:rPr>
        <w:t>的违约金。</w:t>
      </w:r>
    </w:p>
    <w:p w14:paraId="72471C6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监理人在进行竣工预验收时，对影响结构安全和使用功能的部位进行重点检验，形成预验文件，对检查出来的质量问题要督促承包人限期整改到位。通过竣工预验收的工程在委托人组织的验收时发现质量问题，监理人向发包人承担工程监理费的</w:t>
      </w:r>
      <w:r>
        <w:rPr>
          <w:rFonts w:hint="eastAsia" w:ascii="宋体" w:hAnsi="宋体" w:eastAsia="宋体" w:cs="宋体"/>
          <w:b/>
          <w:color w:val="auto"/>
          <w:sz w:val="28"/>
          <w:szCs w:val="28"/>
          <w:highlight w:val="none"/>
          <w:u w:val="single"/>
        </w:rPr>
        <w:t xml:space="preserve"> 5% </w:t>
      </w:r>
      <w:r>
        <w:rPr>
          <w:rFonts w:hint="eastAsia" w:ascii="宋体" w:hAnsi="宋体" w:eastAsia="宋体" w:cs="宋体"/>
          <w:color w:val="auto"/>
          <w:sz w:val="28"/>
          <w:szCs w:val="28"/>
          <w:highlight w:val="none"/>
        </w:rPr>
        <w:t>的违约金。工程竣工验收移交后，在保修期内发现需要整修的质量问题，监理人应督促承包人整改直至整改符合质量要求，否则发包人有权扣减监理人的未付监理费用。</w:t>
      </w:r>
    </w:p>
    <w:p w14:paraId="799C0DE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、工程竣工验收后，监理人应督促施工单位及时报送结算送审资料，对施工单位所报工程结算送审价和工程量进行审查，并对审查数 字负责。如审查结果中，工程造价误差超过</w:t>
      </w:r>
      <w:r>
        <w:rPr>
          <w:rFonts w:hint="eastAsia" w:ascii="宋体" w:hAnsi="宋体" w:eastAsia="宋体" w:cs="宋体"/>
          <w:color w:val="auto"/>
          <w:sz w:val="28"/>
          <w:szCs w:val="28"/>
          <w:highlight w:val="none"/>
          <w:u w:val="single"/>
        </w:rPr>
        <w:t xml:space="preserve"> </w:t>
      </w:r>
      <w:r>
        <w:rPr>
          <w:rFonts w:hint="eastAsia" w:ascii="宋体" w:hAnsi="宋体" w:eastAsia="宋体" w:cs="宋体"/>
          <w:b/>
          <w:color w:val="auto"/>
          <w:sz w:val="28"/>
          <w:szCs w:val="28"/>
          <w:highlight w:val="none"/>
          <w:u w:val="single"/>
        </w:rPr>
        <w:t xml:space="preserve">±5% </w:t>
      </w:r>
      <w:r>
        <w:rPr>
          <w:rFonts w:hint="eastAsia" w:ascii="宋体" w:hAnsi="宋体" w:eastAsia="宋体" w:cs="宋体"/>
          <w:color w:val="auto"/>
          <w:sz w:val="28"/>
          <w:szCs w:val="28"/>
          <w:highlight w:val="none"/>
        </w:rPr>
        <w:t>，发包人除扣除承包人相应费用外，监理人根据误差额的大小按总监理费的</w:t>
      </w:r>
      <w:r>
        <w:rPr>
          <w:rFonts w:hint="eastAsia" w:ascii="宋体" w:hAnsi="宋体" w:eastAsia="宋体" w:cs="宋体"/>
          <w:b/>
          <w:color w:val="auto"/>
          <w:sz w:val="28"/>
          <w:szCs w:val="28"/>
          <w:highlight w:val="none"/>
          <w:u w:val="single"/>
        </w:rPr>
        <w:t xml:space="preserve"> 5%～20% </w:t>
      </w:r>
      <w:r>
        <w:rPr>
          <w:rFonts w:hint="eastAsia" w:ascii="宋体" w:hAnsi="宋体" w:eastAsia="宋体" w:cs="宋体"/>
          <w:color w:val="auto"/>
          <w:sz w:val="28"/>
          <w:szCs w:val="28"/>
          <w:highlight w:val="none"/>
        </w:rPr>
        <w:t>向委托人承担违约金。</w:t>
      </w:r>
    </w:p>
    <w:p w14:paraId="164B204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、工程竣工验收后</w:t>
      </w:r>
      <w:r>
        <w:rPr>
          <w:rFonts w:hint="eastAsia" w:ascii="宋体" w:hAnsi="宋体" w:eastAsia="宋体" w:cs="宋体"/>
          <w:b/>
          <w:color w:val="auto"/>
          <w:sz w:val="28"/>
          <w:szCs w:val="28"/>
          <w:highlight w:val="none"/>
          <w:u w:val="single"/>
        </w:rPr>
        <w:t xml:space="preserve"> 30 </w:t>
      </w:r>
      <w:r>
        <w:rPr>
          <w:rFonts w:hint="eastAsia" w:ascii="宋体" w:hAnsi="宋体" w:eastAsia="宋体" w:cs="宋体"/>
          <w:color w:val="auto"/>
          <w:sz w:val="28"/>
          <w:szCs w:val="28"/>
          <w:highlight w:val="none"/>
        </w:rPr>
        <w:t>日内监理人应向委托人提交</w:t>
      </w:r>
      <w:r>
        <w:rPr>
          <w:rFonts w:hint="eastAsia" w:ascii="宋体" w:hAnsi="宋体" w:eastAsia="宋体" w:cs="宋体"/>
          <w:b/>
          <w:color w:val="auto"/>
          <w:sz w:val="28"/>
          <w:szCs w:val="28"/>
          <w:highlight w:val="none"/>
          <w:u w:val="single"/>
        </w:rPr>
        <w:t xml:space="preserve"> 5 </w:t>
      </w:r>
      <w:r>
        <w:rPr>
          <w:rFonts w:hint="eastAsia" w:ascii="宋体" w:hAnsi="宋体" w:eastAsia="宋体" w:cs="宋体"/>
          <w:color w:val="auto"/>
          <w:sz w:val="28"/>
          <w:szCs w:val="28"/>
          <w:highlight w:val="none"/>
        </w:rPr>
        <w:t>套完整、规范的监理竣工资料，并满足审计及档案馆验收要求，如监理人不提供监理资料或资料不齐全、不规范，监理人将向委托人承担</w:t>
      </w:r>
      <w:r>
        <w:rPr>
          <w:rFonts w:hint="eastAsia" w:ascii="宋体" w:hAnsi="宋体" w:eastAsia="宋体" w:cs="宋体"/>
          <w:b/>
          <w:color w:val="auto"/>
          <w:sz w:val="28"/>
          <w:szCs w:val="28"/>
          <w:highlight w:val="none"/>
          <w:u w:val="single"/>
        </w:rPr>
        <w:t xml:space="preserve"> 20000元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的违约金，委托人有权从监理费中直接扣除。如仍拒不整改提交的，发包人有权拒付剩余监理费用，因监理人原因导致竣工验收不及时，由此给委托人造成损失的，该损失由监理人承担。</w:t>
      </w:r>
    </w:p>
    <w:p w14:paraId="30A58A9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委托人及其上级主管部门关于工程建设质量、工期、安全文明施工等管理办法及规定是本合同的附件，与本合同有同等效力。在委托人及上级主管部门的检查中，如监理人因本项目被通报处理的，监理人将向委托人承担20000元/次的违约金。</w:t>
      </w:r>
    </w:p>
    <w:p w14:paraId="1690EDD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、工程档案资料归档要求执行铜陵市档案局和铜陵市发展和改革委员会文件【</w:t>
      </w:r>
      <w:r>
        <w:rPr>
          <w:rFonts w:hint="eastAsia" w:ascii="宋体" w:hAnsi="宋体" w:eastAsia="宋体" w:cs="宋体"/>
          <w:b/>
          <w:bCs/>
          <w:color w:val="auto"/>
          <w:sz w:val="28"/>
          <w:szCs w:val="28"/>
          <w:highlight w:val="none"/>
        </w:rPr>
        <w:t>转发安徽省档案局安徽省发展和改革委员会转发国家档案局国家发展和改革委员会关于印发《建设项目电子文件归档和电子档案管理暂行办法》的通知的通知（铜档【 2017 】 52 号）</w:t>
      </w:r>
      <w:r>
        <w:rPr>
          <w:rFonts w:hint="eastAsia" w:ascii="宋体" w:hAnsi="宋体" w:eastAsia="宋体" w:cs="宋体"/>
          <w:color w:val="auto"/>
          <w:sz w:val="28"/>
          <w:szCs w:val="28"/>
          <w:highlight w:val="none"/>
        </w:rPr>
        <w:t>】规定。工程资料的档案编制、整理、扫描、加工等相关费用由监理人承担（</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不再单独计量支付）。</w:t>
      </w:r>
    </w:p>
    <w:p w14:paraId="5AE969E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公司对监理单位考核与监理效果评价。对监理考核的内容包括管理水平、总监素质、监理工程师的素质、上岗情况、监理组织机构的完善和监理手段。监理单位项目部考核不合格监理人承担10万元违约金。主要从以下几个方面：</w:t>
      </w:r>
    </w:p>
    <w:p w14:paraId="37B8D35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①对现场总监考勤、监理人员到岗是否满足工程建设需要（监理单位项目部人员人数、工作年限、专业能力）。</w:t>
      </w:r>
    </w:p>
    <w:p w14:paraId="467FEFE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②对设计图纸的审查及熟悉掌握情况。</w:t>
      </w:r>
    </w:p>
    <w:p w14:paraId="7C2E5AB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③对施工现场的进度、质量、造价、安全、文明施工等方面的控制，现场监理人员深入现场及时</w:t>
      </w:r>
    </w:p>
    <w:p w14:paraId="72DC138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发现并解决问题的情况。</w:t>
      </w:r>
    </w:p>
    <w:p w14:paraId="6E9928C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④对工程建设提出合理化建议，及时协调解决施工中的相关问题。</w:t>
      </w:r>
    </w:p>
    <w:p w14:paraId="7E6EAFF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⑤例会是否按时召开。监理月报、例会纪要是否及时、准确。</w:t>
      </w:r>
    </w:p>
    <w:p w14:paraId="57FF9EA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⑥工程量签证与工程进度款、工程决算款是否属实合理。</w:t>
      </w:r>
    </w:p>
    <w:p w14:paraId="73972CF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⑦根据监理单位总部对本项目是否足够重视、是否安排企业技术质量部门人员对本项目定期检查或专项检查情况。</w:t>
      </w:r>
    </w:p>
    <w:p w14:paraId="1C82F9B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、监理单位须根据委托人的需求，无偿为委托人提供交通工具（含配备驾驶人员）及生活用品，发生的费用均由监理单位承担。</w:t>
      </w:r>
    </w:p>
    <w:p w14:paraId="1A4E64E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、监理人在项目监理过程中必须每月至少组织一次质量、安全、文明创建等综合性检查，邀请相关专家（本市范围内，甲方参与）参加并形成专家意见，且专家不少于</w:t>
      </w:r>
      <w:r>
        <w:rPr>
          <w:rFonts w:hint="eastAsia" w:ascii="宋体" w:hAnsi="宋体" w:eastAsia="宋体" w:cs="宋体"/>
          <w:b/>
          <w:color w:val="auto"/>
          <w:sz w:val="28"/>
          <w:szCs w:val="28"/>
          <w:highlight w:val="none"/>
          <w:u w:val="single"/>
        </w:rPr>
        <w:t xml:space="preserve"> 3 </w:t>
      </w:r>
      <w:r>
        <w:rPr>
          <w:rFonts w:hint="eastAsia" w:ascii="宋体" w:hAnsi="宋体" w:eastAsia="宋体" w:cs="宋体"/>
          <w:color w:val="auto"/>
          <w:sz w:val="28"/>
          <w:szCs w:val="28"/>
          <w:highlight w:val="none"/>
        </w:rPr>
        <w:t>人（专家人选需报建设单位确认，发生的全部费用均由监理人支付），专家检查意见每月</w:t>
      </w:r>
      <w:r>
        <w:rPr>
          <w:rFonts w:hint="eastAsia" w:ascii="宋体" w:hAnsi="宋体" w:eastAsia="宋体" w:cs="宋体"/>
          <w:b/>
          <w:i/>
          <w:color w:val="auto"/>
          <w:sz w:val="28"/>
          <w:szCs w:val="28"/>
          <w:highlight w:val="none"/>
          <w:u w:val="single"/>
        </w:rPr>
        <w:t xml:space="preserve"> </w:t>
      </w:r>
      <w:r>
        <w:rPr>
          <w:rFonts w:hint="eastAsia" w:ascii="宋体" w:hAnsi="宋体" w:eastAsia="宋体" w:cs="宋体"/>
          <w:b/>
          <w:color w:val="auto"/>
          <w:sz w:val="28"/>
          <w:szCs w:val="28"/>
          <w:highlight w:val="none"/>
          <w:u w:val="single"/>
        </w:rPr>
        <w:t xml:space="preserve">25 </w:t>
      </w:r>
      <w:r>
        <w:rPr>
          <w:rFonts w:hint="eastAsia" w:ascii="宋体" w:hAnsi="宋体" w:eastAsia="宋体" w:cs="宋体"/>
          <w:color w:val="auto"/>
          <w:sz w:val="28"/>
          <w:szCs w:val="28"/>
          <w:highlight w:val="none"/>
        </w:rPr>
        <w:t>号之前书面反馈至建设单位。若监理人未按要求组织实施，需向委托人承担</w:t>
      </w:r>
      <w:r>
        <w:rPr>
          <w:rFonts w:hint="eastAsia" w:ascii="宋体" w:hAnsi="宋体" w:eastAsia="宋体" w:cs="宋体"/>
          <w:b/>
          <w:color w:val="auto"/>
          <w:sz w:val="28"/>
          <w:szCs w:val="28"/>
          <w:highlight w:val="none"/>
          <w:u w:val="single"/>
        </w:rPr>
        <w:t xml:space="preserve"> 10000 元/次</w:t>
      </w:r>
      <w:r>
        <w:rPr>
          <w:rFonts w:hint="eastAsia" w:ascii="宋体" w:hAnsi="宋体" w:eastAsia="宋体" w:cs="宋体"/>
          <w:color w:val="auto"/>
          <w:sz w:val="28"/>
          <w:szCs w:val="28"/>
          <w:highlight w:val="none"/>
        </w:rPr>
        <w:t>的违约金。</w:t>
      </w:r>
    </w:p>
    <w:p w14:paraId="1EE6536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、由于本项目不一定是同步开工，各部分工作项目不一定是同步开工，既本项目需分阶段、分期开工， 监理人 须接受 委托人 根据情况需要分步实施本项目建设内容，根据实施本项目建设需要或 委托人 指令，可分批签订单项委托监理合同并配合协调相关报建工作（可能需要委派多名总监人员报建），履行本合同中关于监理人应尽的全部义务，监理工作组织安排有序、人员 安排合理。</w:t>
      </w:r>
    </w:p>
    <w:p w14:paraId="43D5482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、本项目在具体实施过程中可能存在建安工程投资额（暨项目建设内容和建设规模）发生调整，无论是否调整，监理费将据实结算（但中标监理费率不变，中标监理费率的计算依据见招标文件）。</w:t>
      </w:r>
    </w:p>
    <w:p w14:paraId="3C32637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监理人应按照本工程实际需求配备相应的测量设备以及专业测量人员，负责对场地标高的测量和核准，因此产生的费用均包含中标价中不单列，发包人不再支付。若因承包人（监理单位）原因未配备所需设备或人员的，发包人有权要求其在进场前准备齐全，否则，监理人向发包人承担合同价款 5%的违约金（违约金在监理费支付时扣除）。</w:t>
      </w:r>
    </w:p>
    <w:p w14:paraId="27112E9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委托人与工程施工承包人或第三人就工程施工、结算等原因产生法律纠纷的，监理人需根据委托人要求，及时准确提交相关证据或出庭作证，若监理派出人员离职或者退休的，监理人负责请求该人参与作证，监理人拒不提交或拒绝出庭作证的、或者出庭作虚假证明的，视为监理人违反诚实信用原则，给委托人造成损失的，由监理人承担。</w:t>
      </w:r>
    </w:p>
    <w:p w14:paraId="7A8199B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、以上条款中以“工程监理费”为基础计算违约金的，工程未审结前以合同暂定金额为基数，工程审结后审定款超出合同暂定金额的，以审定款为基础；低于暂定金额的，以合同暂定金额为基础不变。</w:t>
      </w:r>
    </w:p>
    <w:p w14:paraId="562E101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9.2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.工程经竣工验收不合格或者经使用发现质量缺陷的，监理因无偿继续履行监理义务直至工程合格，视为监理违约，监理人需承担全部监理费的20%作为违约金支付给发包人。</w:t>
      </w:r>
    </w:p>
    <w:p w14:paraId="6D3DAE8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①工程竣工验收不合格；</w:t>
      </w:r>
    </w:p>
    <w:p w14:paraId="1019BF5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②工程竣工验收不合格经返修后仍不合格；</w:t>
      </w:r>
    </w:p>
    <w:p w14:paraId="1BECED7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③工程施工单位拒绝返修。</w:t>
      </w:r>
    </w:p>
    <w:p w14:paraId="7487502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本工程中涉及地质灾害治理监理内容的，若监理人不具备地质灾害治理工程监理相应资质条件的，监理人应专业分包给具备地质灾害治理工程监理相应资质条件的单位，并确保通过国土（自然资源）部门验收，监理人承担总承包责任且</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不承担任何费用。</w:t>
      </w:r>
    </w:p>
    <w:p w14:paraId="5603EF3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w:t>
      </w:r>
      <w:r>
        <w:rPr>
          <w:rFonts w:hint="eastAsia" w:ascii="宋体" w:hAnsi="宋体" w:eastAsia="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rPr>
        <w:t xml:space="preserve"> 补充监理服务内容和要求:</w:t>
      </w:r>
    </w:p>
    <w:p w14:paraId="5027DE9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1、协助委托人办理外围工作；协助委托人审核施工图的设计和概(预)算,参与主持组织图纸会审,做好记录,写出会审纪要。</w:t>
      </w:r>
    </w:p>
    <w:p w14:paraId="1039041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2、参与委托人与施工单位</w:t>
      </w:r>
      <w:r>
        <w:rPr>
          <w:rFonts w:hint="eastAsia" w:ascii="宋体" w:hAnsi="宋体" w:eastAsia="宋体" w:cs="宋体"/>
          <w:color w:val="auto"/>
          <w:sz w:val="28"/>
          <w:szCs w:val="28"/>
          <w:highlight w:val="none"/>
          <w:lang w:eastAsia="zh-CN"/>
        </w:rPr>
        <w:t>签订</w:t>
      </w:r>
      <w:r>
        <w:rPr>
          <w:rFonts w:hint="eastAsia" w:ascii="宋体" w:hAnsi="宋体" w:eastAsia="宋体" w:cs="宋体"/>
          <w:color w:val="auto"/>
          <w:sz w:val="28"/>
          <w:szCs w:val="28"/>
          <w:highlight w:val="none"/>
        </w:rPr>
        <w:t>施工合同,审核施工进度计划，并在实施过程中检查、督促施工单位严格按合同和施工规范、工程技术标准、设计要求进行施工，监督施工单位现场施工管理。</w:t>
      </w:r>
    </w:p>
    <w:p w14:paraId="339E11B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3、协助委托人做好开工前准备，审批开工报告，复核测量数据，经</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同意下达开工令。</w:t>
      </w:r>
    </w:p>
    <w:p w14:paraId="7C054E7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4、审批施工组织设计，审查和检查施工技术措施、质量保证体系及安全防护措施，提出合理的整改意见和建议。</w:t>
      </w:r>
    </w:p>
    <w:p w14:paraId="30F4B02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5、审查施工单位采购清单，检查工程使用材料、构件、设备的规格、质量与数量。督促施工单位编制材料的供需计划，协助委托人安排甲供材料的供应计划。</w:t>
      </w:r>
    </w:p>
    <w:p w14:paraId="235ADB5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6、主持施工图技术交底，参与施工现场验收及设计变更的签证，及时审核施工变更工程量。</w:t>
      </w:r>
    </w:p>
    <w:p w14:paraId="1BC24FC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7、主持召开工程协调会议及综合管线协调会议，主持召开工程协调会议并做好会议纪要，调解有关工程建设各种合同争议，处理索赔事项。</w:t>
      </w:r>
    </w:p>
    <w:p w14:paraId="4B9A21E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8、检查安全防护措施和文明施工,检查督促工程进度、施工质量。</w:t>
      </w:r>
    </w:p>
    <w:p w14:paraId="63BD745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9、督促施工单位及时整理技术资料及竣工验收资料。</w:t>
      </w:r>
    </w:p>
    <w:p w14:paraId="24700BB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10、协助委托人对工程投资进行控制，对施工单位提出的付款申请进行审核。</w:t>
      </w:r>
    </w:p>
    <w:p w14:paraId="4082A33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11、参与审核工程结算，协助委托人审核工程造价，努力降低工程费用。</w:t>
      </w:r>
    </w:p>
    <w:p w14:paraId="2538D75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12、及时提供完整的监理资料，定期编制监理简报。</w:t>
      </w:r>
    </w:p>
    <w:p w14:paraId="57C82FC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13、履行其他法律、法规规定的监理职责义务，提供其他可免费提供的监理服务。</w:t>
      </w:r>
    </w:p>
    <w:p w14:paraId="0703D4B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14、协助委托人组织进行交工验收及竣工验收。</w:t>
      </w:r>
    </w:p>
    <w:p w14:paraId="14AEE7B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15、每周组织参建各方召开工程例会，对工程质量、安全、成本、进度各方面情况进行通报，形成文字材料。</w:t>
      </w:r>
    </w:p>
    <w:p w14:paraId="6AB0D4CA">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16、完成监理规范要求的其他工作内</w:t>
      </w:r>
    </w:p>
    <w:p w14:paraId="7B1C111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D6CF1C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附件1：监理人员配备表</w:t>
      </w:r>
    </w:p>
    <w:p w14:paraId="12AAF67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附件2：监理人投入本工程检测仪器、设备汇总表</w:t>
      </w:r>
    </w:p>
    <w:p w14:paraId="29BBC2E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附件3：廉洁协议</w:t>
      </w:r>
    </w:p>
    <w:p w14:paraId="6ED1574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附件4: 承包范围总平面图</w:t>
      </w:r>
    </w:p>
    <w:p w14:paraId="25972F2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附件5：《技术及管理标准》以委托人另行提供为准</w:t>
      </w:r>
    </w:p>
    <w:p w14:paraId="30E0DDC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3AD4D45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75597CF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037CA84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78FB6EA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59F7FAD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38BB8EE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24E94D6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71E1666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7B3662A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57D065A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471F5B8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6FAE641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2693E9D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5EBBAC6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3CB4C46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5D591D0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01BDB75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0D28651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424727A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14:paraId="25FA6326">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派驻本项目的监理人员一览表</w:t>
      </w:r>
    </w:p>
    <w:p w14:paraId="48A30C1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工程名称：</w:t>
      </w:r>
    </w:p>
    <w:tbl>
      <w:tblPr>
        <w:tblStyle w:val="2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502"/>
        <w:gridCol w:w="1106"/>
        <w:gridCol w:w="910"/>
        <w:gridCol w:w="836"/>
        <w:gridCol w:w="922"/>
        <w:gridCol w:w="1045"/>
        <w:gridCol w:w="1045"/>
        <w:gridCol w:w="1463"/>
      </w:tblGrid>
      <w:tr w14:paraId="4AEE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center"/>
          </w:tcPr>
          <w:p w14:paraId="3D4D6355">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姓名</w:t>
            </w:r>
          </w:p>
        </w:tc>
        <w:tc>
          <w:tcPr>
            <w:tcW w:w="1502" w:type="dxa"/>
            <w:noWrap w:val="0"/>
            <w:vAlign w:val="center"/>
          </w:tcPr>
          <w:p w14:paraId="5FEBE70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本工程拟任岗位</w:t>
            </w:r>
          </w:p>
        </w:tc>
        <w:tc>
          <w:tcPr>
            <w:tcW w:w="1106" w:type="dxa"/>
            <w:noWrap w:val="0"/>
            <w:vAlign w:val="center"/>
          </w:tcPr>
          <w:p w14:paraId="4B006D8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年龄</w:t>
            </w:r>
          </w:p>
        </w:tc>
        <w:tc>
          <w:tcPr>
            <w:tcW w:w="910" w:type="dxa"/>
            <w:noWrap w:val="0"/>
            <w:vAlign w:val="center"/>
          </w:tcPr>
          <w:p w14:paraId="74E9D4A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性别</w:t>
            </w:r>
          </w:p>
        </w:tc>
        <w:tc>
          <w:tcPr>
            <w:tcW w:w="836" w:type="dxa"/>
            <w:noWrap w:val="0"/>
            <w:vAlign w:val="center"/>
          </w:tcPr>
          <w:p w14:paraId="00F4CF3F">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专业</w:t>
            </w:r>
          </w:p>
        </w:tc>
        <w:tc>
          <w:tcPr>
            <w:tcW w:w="922" w:type="dxa"/>
            <w:noWrap w:val="0"/>
            <w:vAlign w:val="center"/>
          </w:tcPr>
          <w:p w14:paraId="1D051638">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岗位年限</w:t>
            </w:r>
          </w:p>
        </w:tc>
        <w:tc>
          <w:tcPr>
            <w:tcW w:w="1045" w:type="dxa"/>
            <w:noWrap w:val="0"/>
            <w:vAlign w:val="center"/>
          </w:tcPr>
          <w:p w14:paraId="279938A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职称</w:t>
            </w:r>
          </w:p>
        </w:tc>
        <w:tc>
          <w:tcPr>
            <w:tcW w:w="1045" w:type="dxa"/>
            <w:noWrap w:val="0"/>
            <w:vAlign w:val="center"/>
          </w:tcPr>
          <w:p w14:paraId="7D4CEAF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在岗阶段</w:t>
            </w:r>
          </w:p>
        </w:tc>
        <w:tc>
          <w:tcPr>
            <w:tcW w:w="1463" w:type="dxa"/>
            <w:noWrap w:val="0"/>
            <w:vAlign w:val="center"/>
          </w:tcPr>
          <w:p w14:paraId="77B55CD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在岗时间</w:t>
            </w:r>
          </w:p>
        </w:tc>
      </w:tr>
      <w:tr w14:paraId="78A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14:paraId="7DBCEE91">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502" w:type="dxa"/>
            <w:noWrap w:val="0"/>
            <w:vAlign w:val="top"/>
          </w:tcPr>
          <w:p w14:paraId="6E9CF783">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106" w:type="dxa"/>
            <w:noWrap w:val="0"/>
            <w:vAlign w:val="top"/>
          </w:tcPr>
          <w:p w14:paraId="2253F4A0">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10" w:type="dxa"/>
            <w:noWrap w:val="0"/>
            <w:vAlign w:val="top"/>
          </w:tcPr>
          <w:p w14:paraId="7CCFB9B7">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836" w:type="dxa"/>
            <w:noWrap w:val="0"/>
            <w:vAlign w:val="top"/>
          </w:tcPr>
          <w:p w14:paraId="04883F7E">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22" w:type="dxa"/>
            <w:noWrap w:val="0"/>
            <w:vAlign w:val="top"/>
          </w:tcPr>
          <w:p w14:paraId="1FF8EE42">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14:paraId="3A3EE9AC">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14:paraId="04E5A9E1">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463" w:type="dxa"/>
            <w:noWrap w:val="0"/>
            <w:vAlign w:val="top"/>
          </w:tcPr>
          <w:p w14:paraId="6EC96277">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r w14:paraId="43A1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14:paraId="6ECCF5C7">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502" w:type="dxa"/>
            <w:noWrap w:val="0"/>
            <w:vAlign w:val="top"/>
          </w:tcPr>
          <w:p w14:paraId="006C4197">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106" w:type="dxa"/>
            <w:noWrap w:val="0"/>
            <w:vAlign w:val="top"/>
          </w:tcPr>
          <w:p w14:paraId="168A8D50">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10" w:type="dxa"/>
            <w:noWrap w:val="0"/>
            <w:vAlign w:val="top"/>
          </w:tcPr>
          <w:p w14:paraId="11C05849">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836" w:type="dxa"/>
            <w:noWrap w:val="0"/>
            <w:vAlign w:val="top"/>
          </w:tcPr>
          <w:p w14:paraId="2F305DDF">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22" w:type="dxa"/>
            <w:noWrap w:val="0"/>
            <w:vAlign w:val="top"/>
          </w:tcPr>
          <w:p w14:paraId="57A4D2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14:paraId="370BA15C">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14:paraId="46F6721C">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463" w:type="dxa"/>
            <w:noWrap w:val="0"/>
            <w:vAlign w:val="top"/>
          </w:tcPr>
          <w:p w14:paraId="1F780042">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r w14:paraId="6A00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gridSpan w:val="9"/>
            <w:noWrap w:val="0"/>
            <w:vAlign w:val="top"/>
          </w:tcPr>
          <w:p w14:paraId="7CF74218">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该表格可根据实际情况自行增补</w:t>
            </w:r>
          </w:p>
        </w:tc>
      </w:tr>
    </w:tbl>
    <w:p w14:paraId="3934D9A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注：列入本表人员如要更换，需经招标人单位同意。擅自更换或不到位</w:t>
      </w:r>
      <w:r>
        <w:rPr>
          <w:rFonts w:hint="eastAsia" w:ascii="宋体" w:hAnsi="宋体" w:eastAsia="宋体" w:cs="宋体"/>
          <w:color w:val="auto"/>
          <w:sz w:val="28"/>
          <w:szCs w:val="28"/>
          <w:highlight w:val="none"/>
          <w:lang w:eastAsia="zh-CN"/>
        </w:rPr>
        <w:t>属于</w:t>
      </w:r>
      <w:r>
        <w:rPr>
          <w:rFonts w:hint="eastAsia" w:ascii="宋体" w:hAnsi="宋体" w:eastAsia="宋体" w:cs="宋体"/>
          <w:color w:val="auto"/>
          <w:sz w:val="28"/>
          <w:szCs w:val="28"/>
          <w:highlight w:val="none"/>
        </w:rPr>
        <w:t>违约行为。如人员不能满足现场管理要求，甲方可要求乙方调整或增加相应的管理人员，以满足现场施工管理要求，相应费用乙方需作综合考虑，不另计取。</w:t>
      </w:r>
    </w:p>
    <w:p w14:paraId="7137C34D">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      （盖单位章）</w:t>
      </w:r>
    </w:p>
    <w:p w14:paraId="42AF310F">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4F56A12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14:paraId="434FD900">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监理投入本工程检测仪器、设备汇总表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2979"/>
      </w:tblGrid>
      <w:tr w14:paraId="630D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3DDCBDD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序号</w:t>
            </w:r>
          </w:p>
        </w:tc>
        <w:tc>
          <w:tcPr>
            <w:tcW w:w="1659" w:type="dxa"/>
            <w:noWrap w:val="0"/>
            <w:vAlign w:val="center"/>
          </w:tcPr>
          <w:p w14:paraId="0ECBC755">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仪器、设备名称</w:t>
            </w:r>
          </w:p>
        </w:tc>
        <w:tc>
          <w:tcPr>
            <w:tcW w:w="1659" w:type="dxa"/>
            <w:noWrap w:val="0"/>
            <w:vAlign w:val="center"/>
          </w:tcPr>
          <w:p w14:paraId="4F666CF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规格、型号</w:t>
            </w:r>
          </w:p>
        </w:tc>
        <w:tc>
          <w:tcPr>
            <w:tcW w:w="1659" w:type="dxa"/>
            <w:noWrap w:val="0"/>
            <w:vAlign w:val="center"/>
          </w:tcPr>
          <w:p w14:paraId="7EAEDFB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数量</w:t>
            </w:r>
          </w:p>
        </w:tc>
        <w:tc>
          <w:tcPr>
            <w:tcW w:w="2979" w:type="dxa"/>
            <w:noWrap w:val="0"/>
            <w:vAlign w:val="center"/>
          </w:tcPr>
          <w:p w14:paraId="528AE53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备注</w:t>
            </w:r>
          </w:p>
        </w:tc>
      </w:tr>
      <w:tr w14:paraId="47E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5E5E93B9">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14:paraId="21142557">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62253027">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0D11582A">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restart"/>
            <w:noWrap w:val="0"/>
            <w:vAlign w:val="center"/>
          </w:tcPr>
          <w:p w14:paraId="370EDBC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常驻现场</w:t>
            </w:r>
          </w:p>
        </w:tc>
      </w:tr>
      <w:tr w14:paraId="64A4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12ED5D5F">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14:paraId="6A723EEB">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40E7F5B2">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3F4799B3">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continue"/>
            <w:noWrap w:val="0"/>
            <w:vAlign w:val="center"/>
          </w:tcPr>
          <w:p w14:paraId="73BB30B0">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r w14:paraId="7212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42CD8FFA">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14:paraId="367152FA">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3CC78D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680797F5">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restart"/>
            <w:noWrap w:val="0"/>
            <w:vAlign w:val="center"/>
          </w:tcPr>
          <w:p w14:paraId="3EDC977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根据工程、委托人需要及时送到现场</w:t>
            </w:r>
          </w:p>
        </w:tc>
      </w:tr>
      <w:tr w14:paraId="059D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77A9B1E8">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14:paraId="2D3A4032">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64A221FE">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14:paraId="73FC9449">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continue"/>
            <w:noWrap w:val="0"/>
            <w:vAlign w:val="top"/>
          </w:tcPr>
          <w:p w14:paraId="4B0D6E35">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bl>
    <w:p w14:paraId="0824767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11BDEFB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6B56F92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4F50205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14:paraId="2D83479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14:paraId="6C5B67F2">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廉洁协议</w:t>
      </w:r>
    </w:p>
    <w:p w14:paraId="3F03A7D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建设单位（甲方）：</w:t>
      </w:r>
    </w:p>
    <w:p w14:paraId="497CE01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监理人（乙方）：</w:t>
      </w:r>
    </w:p>
    <w:p w14:paraId="46E96C2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加强工程项目建设中的廉政管理，确保工程项目高效优质按时竣工投产，防止发生各种谋取不正当利益的违法违纪行为，保护国家、集体和当事人的合法权益，经双方同意签订廉政管理协议书并作为甲乙双方共同遵守的廉政行为准则。</w:t>
      </w:r>
    </w:p>
    <w:p w14:paraId="63157A4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第一条 甲乙双方的责任</w:t>
      </w:r>
    </w:p>
    <w:p w14:paraId="495A754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（一）应严格遵守国家关于市场准入、项目招标投标、工程建设、工程监理和市场活动的有关法律、法规，相关政策，以及廉政建设的各项规定。</w:t>
      </w:r>
    </w:p>
    <w:p w14:paraId="51F802D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（二）严格执行建设工程项目咨询合同文件，自觉按合同办事。</w:t>
      </w:r>
    </w:p>
    <w:p w14:paraId="4DBE81A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（三）业务活动必须坚持公开、公平、公正、诚信、透明的原则（除法律法规另有规定者外），不得为获取不正当的利益，损害国家、集体和对方利益，不得违反工程建设管理、建设监理的规章制度。</w:t>
      </w:r>
    </w:p>
    <w:p w14:paraId="7265946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（四）发现对方在业务活动中有违规、违纪、违法行为的，应及时提醒对方，情节严重的，应向其上级主管部门或纪检监察、司法等有关机关举报。</w:t>
      </w:r>
    </w:p>
    <w:p w14:paraId="68EEF5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第二条 甲方的责任</w:t>
      </w:r>
    </w:p>
    <w:p w14:paraId="152E645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甲方的领导和从事该建设工程项目的工作人员，在工程建设的事前、事中、事后应遵守以下规定：</w:t>
      </w:r>
    </w:p>
    <w:p w14:paraId="7D8EAC5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（一）不准向乙方和相关单位索要或接收回扣、礼金、有价证券、贵重物品和好处费、感谢费等。</w:t>
      </w:r>
    </w:p>
    <w:p w14:paraId="52852A5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（二）不准在乙方和相关单位报销任何应由甲方或个人支付的费用。</w:t>
      </w:r>
    </w:p>
    <w:p w14:paraId="00BB029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（三）不准要求、暗示或接受乙方和相关单位为个人装修住房、婚丧、娶嫁、配偶子女的工作安排以及出国（境）、旅游等提供方便。</w:t>
      </w:r>
    </w:p>
    <w:p w14:paraId="74829E9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（四）不准参加有可能影响公正执行公务的乙方和相关单位的宴请、健身、娱乐等活动。</w:t>
      </w:r>
    </w:p>
    <w:p w14:paraId="1166694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（五）不准向乙方和相关单位介绍或为配偶、子女、亲属参与同甲方项目工程咨询合同有关业务活动。不得以任何理由要求乙方和相关单位在设计中使用某种产品、材料和设备。</w:t>
      </w:r>
    </w:p>
    <w:p w14:paraId="787272B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第三条 乙方的责任</w:t>
      </w:r>
    </w:p>
    <w:p w14:paraId="73CD8ED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应与甲方保持正常的业务交往，按照有关法律法规和程序开展业务工作，严格执行工程建设的有关方针、政策，并遵守以下规定：</w:t>
      </w:r>
    </w:p>
    <w:p w14:paraId="3A459AC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（一）不准以任何理由向甲方及其工作人员索要、接受或赠送礼金、有价证券、贵重物品及回扣、好处费、感谢费等。</w:t>
      </w:r>
    </w:p>
    <w:p w14:paraId="0AD9AD7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（二）不准以任何理由为甲方和相关单位报销应由对方或个人支付的费用。</w:t>
      </w:r>
    </w:p>
    <w:p w14:paraId="0A535C7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（三）不准接受或暗示为甲方、相关单位为个人装修住房、婚丧、娶嫁、配偶子女的工作安排以及出国（境）、旅游等提供方便。</w:t>
      </w:r>
    </w:p>
    <w:p w14:paraId="7BD3C04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（四）不准以任何理由为甲方、相关单位或个人组织有可能影响公正执行公务的乙方和相关单位的宴请、健身、娱乐等活动。</w:t>
      </w:r>
    </w:p>
    <w:p w14:paraId="706492D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第四条 违约责任</w:t>
      </w:r>
    </w:p>
    <w:p w14:paraId="1E78A2D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14:paraId="76A5633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48FDF44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第五条 本责任书作为工程咨询合同的附件，与工程咨询合同具有同等法律效力。经双方签署后立即生效。</w:t>
      </w:r>
    </w:p>
    <w:p w14:paraId="194794F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第六条 本责任书的有效期限为双方签署之日起至该合同履约结束时止。</w:t>
      </w:r>
    </w:p>
    <w:p w14:paraId="44BE1D5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第七条 本责任书一式四份，由甲乙双方各执一份，送交甲乙双方的监督单位各一份。</w:t>
      </w:r>
    </w:p>
    <w:p w14:paraId="1195CAC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76FFE57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甲方单位：（盖章）            乙方单位：（盖章）</w:t>
      </w:r>
    </w:p>
    <w:p w14:paraId="7211CBD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法定代表人：</w:t>
      </w:r>
    </w:p>
    <w:p w14:paraId="3F7A662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                        地址：</w:t>
      </w:r>
    </w:p>
    <w:p w14:paraId="74932D5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                        电话：</w:t>
      </w:r>
    </w:p>
    <w:p w14:paraId="4894AFB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5EE9DEF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18E31D1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190C443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1C2098DA">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281B7956">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1DC59B9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34376FD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041CD8F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5B136548">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33E1A02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52FD6177">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527ADC1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6F5DB45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267D2BE9">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3D63998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40DCCCC2">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58F71FD3">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73CFD10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65F0F79B">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0AF02EB0">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14:paraId="1D4ACFFC">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附录A  相关服务的范围和内容</w:t>
      </w:r>
    </w:p>
    <w:p w14:paraId="6EF1355E">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A-1 勘察阶段：</w:t>
      </w:r>
      <w:r>
        <w:rPr>
          <w:rFonts w:hint="eastAsia" w:ascii="宋体" w:hAnsi="宋体" w:eastAsia="宋体" w:cs="宋体"/>
          <w:color w:val="auto"/>
          <w:sz w:val="28"/>
          <w:szCs w:val="28"/>
          <w:highlight w:val="none"/>
          <w:u w:val="single"/>
        </w:rPr>
        <w:t xml:space="preserve">                                        </w:t>
      </w:r>
    </w:p>
    <w:p w14:paraId="541961F5">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58B36821">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A-2 设计阶段：</w:t>
      </w:r>
      <w:r>
        <w:rPr>
          <w:rFonts w:hint="eastAsia" w:ascii="宋体" w:hAnsi="宋体" w:eastAsia="宋体" w:cs="宋体"/>
          <w:color w:val="auto"/>
          <w:sz w:val="28"/>
          <w:szCs w:val="28"/>
          <w:highlight w:val="none"/>
          <w:u w:val="single"/>
        </w:rPr>
        <w:t xml:space="preserve">                                </w:t>
      </w:r>
    </w:p>
    <w:p w14:paraId="1FB24E6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0CAFF41D">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A-3 保修阶段：</w:t>
      </w:r>
      <w:r>
        <w:rPr>
          <w:rFonts w:hint="eastAsia" w:ascii="宋体" w:hAnsi="宋体" w:eastAsia="宋体" w:cs="宋体"/>
          <w:color w:val="auto"/>
          <w:sz w:val="28"/>
          <w:szCs w:val="28"/>
          <w:highlight w:val="none"/>
          <w:u w:val="single"/>
        </w:rPr>
        <w:t xml:space="preserve">                                                      </w:t>
      </w:r>
    </w:p>
    <w:p w14:paraId="24279D74">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25FA4D4F">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A-4 其他（专业技术咨询、外部协调工作等）：</w:t>
      </w:r>
      <w:r>
        <w:rPr>
          <w:rFonts w:hint="eastAsia" w:ascii="宋体" w:hAnsi="宋体" w:eastAsia="宋体" w:cs="宋体"/>
          <w:color w:val="auto"/>
          <w:sz w:val="28"/>
          <w:szCs w:val="28"/>
          <w:highlight w:val="none"/>
          <w:u w:val="single"/>
        </w:rPr>
        <w:t xml:space="preserve">工程开工前施工单位报送的资料审批、施工过程中工程质量、安全、成本、进度控制；安全文明施工管理、施工过程资料的收集整理归档审批，工程过程验收管理、隐蔽工程验收和工程量的确认、工程竣工后监理资料的移交、协助委托人办理竣工验收和竣工审计工作等，监理单位须和施工单位同步进场同步退场 </w:t>
      </w:r>
      <w:r>
        <w:rPr>
          <w:rFonts w:hint="eastAsia" w:ascii="宋体" w:hAnsi="宋体" w:eastAsia="宋体" w:cs="宋体"/>
          <w:color w:val="auto"/>
          <w:spacing w:val="9"/>
          <w:sz w:val="28"/>
          <w:szCs w:val="28"/>
          <w:highlight w:val="none"/>
        </w:rPr>
        <w:t>。</w:t>
      </w:r>
    </w:p>
    <w:p w14:paraId="1C99D53D">
      <w:pPr>
        <w:adjustRightInd w:val="0"/>
        <w:snapToGrid w:val="0"/>
        <w:spacing w:beforeLines="50" w:afterLines="50" w:line="360" w:lineRule="auto"/>
        <w:ind w:firstLine="480" w:firstLineChars="200"/>
        <w:rPr>
          <w:rFonts w:ascii="宋体" w:hAnsi="宋体" w:cs="宋体"/>
          <w:color w:val="auto"/>
          <w:sz w:val="28"/>
          <w:szCs w:val="28"/>
          <w:highlight w:val="none"/>
        </w:rPr>
      </w:pPr>
      <w:r>
        <w:rPr>
          <w:rFonts w:hint="eastAsia" w:ascii="宋体" w:hAnsi="宋体" w:eastAsia="宋体" w:cs="宋体"/>
          <w:b/>
          <w:color w:val="auto"/>
          <w:sz w:val="24"/>
          <w:szCs w:val="24"/>
          <w:highlight w:val="none"/>
        </w:rPr>
        <w:br w:type="page"/>
      </w:r>
    </w:p>
    <w:p w14:paraId="086D54FC">
      <w:pPr>
        <w:spacing w:line="500" w:lineRule="exact"/>
        <w:ind w:firstLine="560" w:firstLineChars="200"/>
        <w:jc w:val="left"/>
        <w:rPr>
          <w:rFonts w:ascii="宋体" w:hAnsi="宋体"/>
          <w:color w:val="auto"/>
          <w:sz w:val="28"/>
          <w:szCs w:val="28"/>
          <w:highlight w:val="none"/>
        </w:rPr>
      </w:pPr>
    </w:p>
    <w:p w14:paraId="19EB48FB">
      <w:pPr>
        <w:spacing w:line="400" w:lineRule="exact"/>
        <w:jc w:val="center"/>
        <w:rPr>
          <w:rFonts w:ascii="宋体" w:hAnsi="宋体" w:cs="宋体"/>
          <w:b/>
          <w:color w:val="auto"/>
          <w:sz w:val="32"/>
          <w:szCs w:val="32"/>
          <w:highlight w:val="none"/>
        </w:rPr>
      </w:pPr>
    </w:p>
    <w:p w14:paraId="28E1A517">
      <w:pPr>
        <w:spacing w:line="400" w:lineRule="exact"/>
        <w:jc w:val="center"/>
        <w:rPr>
          <w:rFonts w:ascii="宋体" w:hAnsi="宋体" w:cs="宋体"/>
          <w:b/>
          <w:color w:val="auto"/>
          <w:sz w:val="32"/>
          <w:szCs w:val="32"/>
          <w:highlight w:val="none"/>
        </w:rPr>
      </w:pPr>
    </w:p>
    <w:p w14:paraId="07326EC0">
      <w:pPr>
        <w:spacing w:line="400" w:lineRule="exact"/>
        <w:jc w:val="center"/>
        <w:rPr>
          <w:rFonts w:ascii="宋体" w:hAnsi="宋体" w:cs="宋体"/>
          <w:b/>
          <w:color w:val="auto"/>
          <w:sz w:val="32"/>
          <w:szCs w:val="32"/>
          <w:highlight w:val="none"/>
        </w:rPr>
      </w:pPr>
    </w:p>
    <w:p w14:paraId="21B9A0B6">
      <w:pPr>
        <w:spacing w:line="400" w:lineRule="exact"/>
        <w:jc w:val="center"/>
        <w:rPr>
          <w:rFonts w:ascii="宋体" w:hAnsi="宋体" w:cs="宋体"/>
          <w:b/>
          <w:color w:val="auto"/>
          <w:sz w:val="32"/>
          <w:szCs w:val="32"/>
          <w:highlight w:val="none"/>
        </w:rPr>
      </w:pPr>
    </w:p>
    <w:p w14:paraId="783A31A3">
      <w:pPr>
        <w:spacing w:line="400" w:lineRule="exact"/>
        <w:jc w:val="center"/>
        <w:rPr>
          <w:rFonts w:ascii="宋体" w:hAnsi="宋体" w:cs="宋体"/>
          <w:b/>
          <w:color w:val="auto"/>
          <w:sz w:val="32"/>
          <w:szCs w:val="32"/>
          <w:highlight w:val="none"/>
        </w:rPr>
      </w:pPr>
    </w:p>
    <w:p w14:paraId="7D1A939E">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第五部分    技术说明</w:t>
      </w:r>
    </w:p>
    <w:p w14:paraId="65E3403A">
      <w:pPr>
        <w:spacing w:line="400" w:lineRule="exact"/>
        <w:jc w:val="center"/>
        <w:rPr>
          <w:rFonts w:ascii="宋体" w:hAnsi="宋体" w:cs="宋体"/>
          <w:b/>
          <w:color w:val="auto"/>
          <w:sz w:val="32"/>
          <w:szCs w:val="32"/>
          <w:highlight w:val="none"/>
        </w:rPr>
      </w:pPr>
    </w:p>
    <w:p w14:paraId="1C185790">
      <w:pPr>
        <w:spacing w:line="4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（略）</w:t>
      </w:r>
    </w:p>
    <w:p w14:paraId="33013329">
      <w:pPr>
        <w:spacing w:line="400" w:lineRule="exact"/>
        <w:jc w:val="center"/>
        <w:rPr>
          <w:rFonts w:ascii="宋体" w:hAnsi="宋体" w:cs="宋体"/>
          <w:b/>
          <w:color w:val="auto"/>
          <w:sz w:val="32"/>
          <w:szCs w:val="32"/>
          <w:highlight w:val="none"/>
        </w:rPr>
      </w:pPr>
    </w:p>
    <w:p w14:paraId="668E44B5">
      <w:pPr>
        <w:spacing w:line="400" w:lineRule="exact"/>
        <w:jc w:val="center"/>
        <w:rPr>
          <w:rFonts w:ascii="宋体" w:hAnsi="宋体" w:cs="宋体"/>
          <w:b/>
          <w:color w:val="auto"/>
          <w:sz w:val="32"/>
          <w:szCs w:val="32"/>
          <w:highlight w:val="none"/>
        </w:rPr>
      </w:pPr>
    </w:p>
    <w:p w14:paraId="30B901EF">
      <w:pPr>
        <w:spacing w:line="400" w:lineRule="exact"/>
        <w:jc w:val="center"/>
        <w:rPr>
          <w:rFonts w:ascii="宋体" w:hAnsi="宋体" w:cs="宋体"/>
          <w:b/>
          <w:color w:val="auto"/>
          <w:sz w:val="32"/>
          <w:szCs w:val="32"/>
          <w:highlight w:val="none"/>
        </w:rPr>
      </w:pPr>
    </w:p>
    <w:p w14:paraId="6093D46C">
      <w:pPr>
        <w:spacing w:line="400" w:lineRule="exact"/>
        <w:jc w:val="center"/>
        <w:rPr>
          <w:rFonts w:ascii="宋体" w:hAnsi="宋体" w:cs="宋体"/>
          <w:b/>
          <w:color w:val="auto"/>
          <w:sz w:val="32"/>
          <w:szCs w:val="32"/>
          <w:highlight w:val="none"/>
        </w:rPr>
      </w:pPr>
    </w:p>
    <w:p w14:paraId="68749675">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第六部分  施工图纸及勘察资料  </w:t>
      </w:r>
    </w:p>
    <w:p w14:paraId="7F1A378B">
      <w:pPr>
        <w:spacing w:line="400" w:lineRule="exact"/>
        <w:rPr>
          <w:rFonts w:ascii="宋体" w:hAnsi="宋体" w:cs="宋体"/>
          <w:b/>
          <w:color w:val="auto"/>
          <w:sz w:val="32"/>
          <w:szCs w:val="32"/>
          <w:highlight w:val="none"/>
        </w:rPr>
      </w:pPr>
    </w:p>
    <w:p w14:paraId="38E31093">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（电子版）</w:t>
      </w:r>
    </w:p>
    <w:p w14:paraId="4D81CBEB">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E87F152">
      <w:pPr>
        <w:spacing w:line="400" w:lineRule="exact"/>
        <w:jc w:val="center"/>
        <w:rPr>
          <w:rFonts w:hint="eastAsia" w:ascii="宋体" w:hAnsi="宋体" w:cs="宋体"/>
          <w:b/>
          <w:color w:val="auto"/>
          <w:sz w:val="28"/>
          <w:szCs w:val="28"/>
          <w:highlight w:val="none"/>
        </w:rPr>
      </w:pPr>
    </w:p>
    <w:p w14:paraId="22A22E76">
      <w:pPr>
        <w:spacing w:line="400" w:lineRule="exact"/>
        <w:jc w:val="center"/>
        <w:rPr>
          <w:rFonts w:hint="eastAsia" w:ascii="宋体" w:hAnsi="宋体" w:cs="宋体"/>
          <w:b/>
          <w:color w:val="auto"/>
          <w:sz w:val="28"/>
          <w:szCs w:val="28"/>
          <w:highlight w:val="none"/>
        </w:rPr>
      </w:pPr>
    </w:p>
    <w:p w14:paraId="39DDA73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第七部分   投标文件格式</w:t>
      </w:r>
    </w:p>
    <w:p w14:paraId="05C7D071">
      <w:pPr>
        <w:spacing w:line="360" w:lineRule="auto"/>
        <w:ind w:firstLine="627" w:firstLineChars="196"/>
        <w:jc w:val="left"/>
        <w:rPr>
          <w:rFonts w:ascii="宋体" w:hAnsi="宋体" w:cs="宋体"/>
          <w:b/>
          <w:color w:val="auto"/>
          <w:sz w:val="32"/>
          <w:szCs w:val="32"/>
          <w:highlight w:val="none"/>
        </w:rPr>
      </w:pPr>
    </w:p>
    <w:p w14:paraId="6A73A7F9">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监理单位应按下列名称、顺序、格式，并依据“投标人须知”的要求编列投标文件：</w:t>
      </w:r>
    </w:p>
    <w:p w14:paraId="03FD40A7">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1．法定代表人身份证明书（详见格式）</w:t>
      </w:r>
    </w:p>
    <w:p w14:paraId="4A8BF7FA">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2．授权委托书（详见格式）</w:t>
      </w:r>
    </w:p>
    <w:p w14:paraId="2F6C893A">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3．诚信承诺书（详见格式）。</w:t>
      </w:r>
    </w:p>
    <w:p w14:paraId="16E6DFE1">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．投标综合说明</w:t>
      </w:r>
    </w:p>
    <w:p w14:paraId="200E5966">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．1企业概况</w:t>
      </w:r>
    </w:p>
    <w:p w14:paraId="47A2F63F">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．2监理过类似工程的合同一览表（详见格式）以及目前正在监理的工程一览表（详见格式）；</w:t>
      </w:r>
    </w:p>
    <w:p w14:paraId="6813B7B2">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3派驻本工程的监理机构组织形式和人员，总监理工程师、各专业监理工程师的简历表（详见格式）；总监理工程师监理过类似工程、目前正在监理的工程一览表（详见格式）；总监理工程师及各专业监理工程师的资质证书、监理人员和见证人员人员清单表，以及提供上述人员的开标前半年内在投标人企业连续三个月的</w:t>
      </w:r>
      <w:r>
        <w:rPr>
          <w:rFonts w:hint="eastAsia" w:ascii="宋体" w:hAnsi="宋体" w:cs="宋体"/>
          <w:color w:val="auto"/>
          <w:sz w:val="28"/>
          <w:szCs w:val="32"/>
          <w:highlight w:val="none"/>
          <w:lang w:eastAsia="zh-CN"/>
        </w:rPr>
        <w:t>社保缴纳证明（若为退休人员，须同时提供退休证明材料及劳动合同）</w:t>
      </w:r>
      <w:r>
        <w:rPr>
          <w:rFonts w:hint="eastAsia" w:ascii="宋体" w:hAnsi="宋体" w:cs="宋体"/>
          <w:color w:val="auto"/>
          <w:sz w:val="28"/>
          <w:szCs w:val="32"/>
          <w:highlight w:val="none"/>
        </w:rPr>
        <w:t>，且应是投标人本单位工作人员。</w:t>
      </w:r>
    </w:p>
    <w:p w14:paraId="735EA51D">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．4关于总监理工程师现场到位率的承诺（详见格式）；</w:t>
      </w:r>
    </w:p>
    <w:p w14:paraId="527FB7E4">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5</w:t>
      </w:r>
      <w:r>
        <w:rPr>
          <w:rFonts w:hint="eastAsia" w:ascii="宋体" w:hAnsi="宋体" w:cs="宋体"/>
          <w:color w:val="auto"/>
          <w:sz w:val="28"/>
          <w:szCs w:val="32"/>
          <w:highlight w:val="none"/>
        </w:rPr>
        <w:t>．投入本工程办公检测仪器、设备汇总表</w:t>
      </w:r>
    </w:p>
    <w:p w14:paraId="24DB98F4">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．监理规划和监理大纲</w:t>
      </w:r>
    </w:p>
    <w:p w14:paraId="4EA96501">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.1监理工作概况；</w:t>
      </w:r>
    </w:p>
    <w:p w14:paraId="755BEF45">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.2监理工作内容和依据；</w:t>
      </w:r>
    </w:p>
    <w:p w14:paraId="0C78A3BF">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.3控制工程合同、质量、进度、</w:t>
      </w:r>
      <w:r>
        <w:rPr>
          <w:rFonts w:hint="eastAsia" w:ascii="宋体" w:hAnsi="宋体" w:cs="宋体"/>
          <w:color w:val="auto"/>
          <w:sz w:val="28"/>
          <w:szCs w:val="32"/>
          <w:highlight w:val="none"/>
          <w:lang w:val="en-US" w:eastAsia="zh-CN"/>
        </w:rPr>
        <w:t>环保、</w:t>
      </w:r>
      <w:r>
        <w:rPr>
          <w:rFonts w:hint="eastAsia" w:ascii="宋体" w:hAnsi="宋体" w:cs="宋体"/>
          <w:color w:val="auto"/>
          <w:sz w:val="28"/>
          <w:szCs w:val="32"/>
          <w:highlight w:val="none"/>
        </w:rPr>
        <w:t>安全文明施工、投资的主要手段和措施；</w:t>
      </w:r>
    </w:p>
    <w:p w14:paraId="3647BF94">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.4监理工作计划；</w:t>
      </w:r>
    </w:p>
    <w:p w14:paraId="18DB6C1F">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.5监理人员工作守则；</w:t>
      </w:r>
    </w:p>
    <w:p w14:paraId="30335B0B">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.6对工程施工的难点、要点和关键部分的阐明及监理实施意见；</w:t>
      </w:r>
    </w:p>
    <w:p w14:paraId="0792A2A7">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 xml:space="preserve">.7对本工程的其他建议、要求； </w:t>
      </w:r>
    </w:p>
    <w:p w14:paraId="2960EB15">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7</w:t>
      </w:r>
      <w:r>
        <w:rPr>
          <w:rFonts w:hint="eastAsia" w:ascii="宋体" w:hAnsi="宋体" w:cs="宋体"/>
          <w:color w:val="auto"/>
          <w:sz w:val="28"/>
          <w:szCs w:val="32"/>
          <w:highlight w:val="none"/>
        </w:rPr>
        <w:t>.相关证明材料扫描件。</w:t>
      </w:r>
    </w:p>
    <w:p w14:paraId="2F8ADE61">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8</w:t>
      </w:r>
      <w:r>
        <w:rPr>
          <w:rFonts w:hint="eastAsia" w:ascii="宋体" w:hAnsi="宋体" w:cs="宋体"/>
          <w:color w:val="auto"/>
          <w:sz w:val="28"/>
          <w:szCs w:val="32"/>
          <w:highlight w:val="none"/>
        </w:rPr>
        <w:t>．投标书（详见格式）</w:t>
      </w:r>
    </w:p>
    <w:p w14:paraId="129CAD61">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9</w:t>
      </w:r>
      <w:r>
        <w:rPr>
          <w:rFonts w:hint="eastAsia" w:ascii="宋体" w:hAnsi="宋体" w:cs="宋体"/>
          <w:color w:val="auto"/>
          <w:sz w:val="28"/>
          <w:szCs w:val="32"/>
          <w:highlight w:val="none"/>
        </w:rPr>
        <w:t>．监理费报价分析汇总表（详见格式）</w:t>
      </w:r>
    </w:p>
    <w:p w14:paraId="1CE04CF0">
      <w:pPr>
        <w:ind w:left="360" w:firstLine="210" w:firstLineChars="75"/>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78E5E77">
      <w:pPr>
        <w:pStyle w:val="12"/>
        <w:spacing w:line="360" w:lineRule="auto"/>
        <w:ind w:left="360"/>
        <w:jc w:val="center"/>
        <w:rPr>
          <w:rFonts w:hint="eastAsia" w:hAnsi="宋体" w:cs="宋体"/>
          <w:b/>
          <w:color w:val="auto"/>
          <w:sz w:val="28"/>
          <w:szCs w:val="28"/>
          <w:highlight w:val="none"/>
        </w:rPr>
      </w:pPr>
    </w:p>
    <w:p w14:paraId="772437E3">
      <w:pPr>
        <w:pStyle w:val="12"/>
        <w:spacing w:line="360" w:lineRule="auto"/>
        <w:ind w:left="360"/>
        <w:jc w:val="center"/>
        <w:rPr>
          <w:rFonts w:hAnsi="宋体" w:cs="宋体"/>
          <w:b/>
          <w:color w:val="auto"/>
          <w:sz w:val="24"/>
          <w:szCs w:val="24"/>
          <w:highlight w:val="none"/>
        </w:rPr>
      </w:pPr>
      <w:r>
        <w:rPr>
          <w:rFonts w:hint="eastAsia" w:hAnsi="宋体" w:cs="宋体"/>
          <w:b/>
          <w:color w:val="auto"/>
          <w:sz w:val="28"/>
          <w:szCs w:val="28"/>
          <w:highlight w:val="none"/>
        </w:rPr>
        <w:t>法定代表人身份证明书</w:t>
      </w:r>
    </w:p>
    <w:p w14:paraId="5238B9AC">
      <w:pPr>
        <w:spacing w:beforeLines="20" w:afterLines="20" w:line="360" w:lineRule="auto"/>
        <w:rPr>
          <w:rFonts w:ascii="宋体" w:hAnsi="宋体" w:cs="宋体"/>
          <w:color w:val="auto"/>
          <w:sz w:val="24"/>
          <w:szCs w:val="24"/>
          <w:highlight w:val="none"/>
        </w:rPr>
      </w:pPr>
    </w:p>
    <w:p w14:paraId="794A31D9">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单位名称：</w:t>
      </w:r>
    </w:p>
    <w:p w14:paraId="357E143E">
      <w:pPr>
        <w:spacing w:beforeLines="20" w:afterLines="20" w:line="360" w:lineRule="auto"/>
        <w:ind w:firstLine="610"/>
        <w:rPr>
          <w:rFonts w:ascii="宋体" w:hAnsi="宋体" w:cs="宋体"/>
          <w:color w:val="auto"/>
          <w:sz w:val="24"/>
          <w:szCs w:val="24"/>
          <w:highlight w:val="none"/>
          <w:u w:val="single"/>
        </w:rPr>
      </w:pPr>
      <w:r>
        <w:rPr>
          <w:rFonts w:hint="eastAsia" w:ascii="宋体" w:hAnsi="宋体" w:cs="宋体"/>
          <w:color w:val="auto"/>
          <w:sz w:val="24"/>
          <w:szCs w:val="24"/>
          <w:highlight w:val="none"/>
        </w:rPr>
        <w:t>单位性质：</w:t>
      </w:r>
    </w:p>
    <w:p w14:paraId="4BFEF477">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3B3D4759">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成立时间： 年 月 日</w:t>
      </w:r>
    </w:p>
    <w:p w14:paraId="12C4677C">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rPr>
        <w:tab/>
      </w:r>
    </w:p>
    <w:p w14:paraId="2B56061C">
      <w:pPr>
        <w:spacing w:beforeLines="20" w:afterLines="20" w:line="360" w:lineRule="auto"/>
        <w:ind w:firstLine="610"/>
        <w:rPr>
          <w:rFonts w:ascii="宋体" w:hAnsi="宋体" w:cs="宋体"/>
          <w:color w:val="auto"/>
          <w:sz w:val="24"/>
          <w:szCs w:val="24"/>
          <w:highlight w:val="none"/>
          <w:u w:val="single"/>
        </w:rPr>
      </w:pPr>
      <w:r>
        <w:rPr>
          <w:rFonts w:hint="eastAsia" w:ascii="宋体" w:hAnsi="宋体" w:cs="宋体"/>
          <w:color w:val="auto"/>
          <w:sz w:val="24"/>
          <w:szCs w:val="24"/>
          <w:highlight w:val="none"/>
        </w:rPr>
        <w:t>姓    名：   性别：</w:t>
      </w:r>
    </w:p>
    <w:p w14:paraId="403DE377">
      <w:pPr>
        <w:spacing w:beforeLines="20" w:afterLines="20" w:line="360" w:lineRule="auto"/>
        <w:ind w:firstLine="610"/>
        <w:rPr>
          <w:rFonts w:ascii="宋体" w:hAnsi="宋体" w:cs="宋体"/>
          <w:color w:val="auto"/>
          <w:sz w:val="24"/>
          <w:szCs w:val="24"/>
          <w:highlight w:val="none"/>
          <w:u w:val="single"/>
        </w:rPr>
      </w:pPr>
      <w:r>
        <w:rPr>
          <w:rFonts w:hint="eastAsia" w:ascii="宋体" w:hAnsi="宋体" w:cs="宋体"/>
          <w:color w:val="auto"/>
          <w:sz w:val="24"/>
          <w:szCs w:val="24"/>
          <w:highlight w:val="none"/>
        </w:rPr>
        <w:t>年    龄：   职务：</w:t>
      </w:r>
      <w:r>
        <w:rPr>
          <w:rFonts w:hint="eastAsia" w:ascii="宋体" w:hAnsi="宋体" w:cs="宋体"/>
          <w:color w:val="auto"/>
          <w:sz w:val="24"/>
          <w:szCs w:val="24"/>
          <w:highlight w:val="none"/>
        </w:rPr>
        <w:tab/>
      </w:r>
    </w:p>
    <w:p w14:paraId="3DE2B75A">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 xml:space="preserve">系  </w:t>
      </w:r>
      <w:r>
        <w:rPr>
          <w:rFonts w:hint="eastAsia" w:ascii="宋体" w:hAnsi="宋体" w:cs="宋体"/>
          <w:color w:val="auto"/>
          <w:sz w:val="24"/>
          <w:szCs w:val="24"/>
          <w:highlight w:val="none"/>
          <w:u w:val="single"/>
        </w:rPr>
        <w:t xml:space="preserve">        （投标人单位名称）        </w:t>
      </w:r>
      <w:r>
        <w:rPr>
          <w:rFonts w:hint="eastAsia" w:ascii="宋体" w:hAnsi="宋体" w:cs="宋体"/>
          <w:color w:val="auto"/>
          <w:sz w:val="24"/>
          <w:szCs w:val="24"/>
          <w:highlight w:val="none"/>
        </w:rPr>
        <w:t xml:space="preserve"> 的法定代表人。</w:t>
      </w:r>
    </w:p>
    <w:p w14:paraId="5FA55DAF">
      <w:pPr>
        <w:spacing w:beforeLines="20" w:afterLines="20" w:line="360" w:lineRule="auto"/>
        <w:ind w:firstLine="610"/>
        <w:rPr>
          <w:rFonts w:ascii="宋体" w:hAnsi="宋体" w:cs="宋体"/>
          <w:color w:val="auto"/>
          <w:sz w:val="24"/>
          <w:szCs w:val="24"/>
          <w:highlight w:val="none"/>
        </w:rPr>
      </w:pPr>
    </w:p>
    <w:p w14:paraId="145A10E3">
      <w:pPr>
        <w:pStyle w:val="6"/>
        <w:spacing w:beforeLines="20" w:afterLines="20"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rPr>
        <w:t>特此证明。</w:t>
      </w:r>
    </w:p>
    <w:p w14:paraId="5194FCBB">
      <w:pPr>
        <w:tabs>
          <w:tab w:val="left" w:pos="720"/>
          <w:tab w:val="left" w:pos="900"/>
        </w:tabs>
        <w:spacing w:beforeLines="20" w:afterLines="20" w:line="360" w:lineRule="auto"/>
        <w:ind w:firstLine="1440" w:firstLineChars="600"/>
        <w:rPr>
          <w:rFonts w:ascii="宋体" w:hAnsi="宋体" w:cs="宋体"/>
          <w:color w:val="auto"/>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（盖公章）</w:t>
      </w:r>
    </w:p>
    <w:p w14:paraId="66C3B3D7">
      <w:pPr>
        <w:spacing w:beforeLines="20" w:afterLines="20" w:line="360" w:lineRule="auto"/>
        <w:ind w:firstLine="3840" w:firstLineChars="1600"/>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lang w:eastAsia="zh-CN"/>
        </w:rPr>
        <w:t>年  月  日</w:t>
      </w:r>
    </w:p>
    <w:p w14:paraId="089412E9">
      <w:pPr>
        <w:pStyle w:val="12"/>
        <w:spacing w:line="360" w:lineRule="auto"/>
        <w:jc w:val="center"/>
        <w:rPr>
          <w:rFonts w:hAnsi="宋体" w:cs="宋体"/>
          <w:b/>
          <w:color w:val="auto"/>
          <w:sz w:val="24"/>
          <w:szCs w:val="24"/>
          <w:highlight w:val="none"/>
        </w:rPr>
      </w:pPr>
      <w:bookmarkStart w:id="12" w:name="_Toc171581368"/>
      <w:bookmarkStart w:id="13" w:name="_Toc171741991"/>
      <w:bookmarkStart w:id="14" w:name="_Toc171581548"/>
    </w:p>
    <w:p w14:paraId="1FF8114C">
      <w:pPr>
        <w:pStyle w:val="12"/>
        <w:spacing w:line="360" w:lineRule="auto"/>
        <w:jc w:val="center"/>
        <w:rPr>
          <w:rFonts w:hAnsi="宋体" w:cs="宋体"/>
          <w:b/>
          <w:color w:val="auto"/>
          <w:sz w:val="24"/>
          <w:szCs w:val="24"/>
          <w:highlight w:val="none"/>
        </w:rPr>
      </w:pPr>
    </w:p>
    <w:p w14:paraId="3DD15755">
      <w:pPr>
        <w:pStyle w:val="12"/>
        <w:spacing w:line="360" w:lineRule="auto"/>
        <w:jc w:val="center"/>
        <w:rPr>
          <w:rFonts w:hAnsi="宋体" w:cs="宋体"/>
          <w:b/>
          <w:color w:val="auto"/>
          <w:sz w:val="24"/>
          <w:szCs w:val="24"/>
          <w:highlight w:val="none"/>
        </w:rPr>
      </w:pPr>
    </w:p>
    <w:p w14:paraId="02C2ED64">
      <w:pPr>
        <w:pStyle w:val="12"/>
        <w:spacing w:line="360" w:lineRule="auto"/>
        <w:jc w:val="center"/>
        <w:rPr>
          <w:rFonts w:hAnsi="宋体" w:cs="宋体"/>
          <w:b/>
          <w:color w:val="auto"/>
          <w:sz w:val="24"/>
          <w:szCs w:val="24"/>
          <w:highlight w:val="none"/>
        </w:rPr>
      </w:pPr>
    </w:p>
    <w:p w14:paraId="4CE0F179">
      <w:pPr>
        <w:pStyle w:val="12"/>
        <w:spacing w:line="360" w:lineRule="auto"/>
        <w:jc w:val="center"/>
        <w:rPr>
          <w:rFonts w:hAnsi="宋体" w:cs="宋体"/>
          <w:b/>
          <w:color w:val="auto"/>
          <w:sz w:val="24"/>
          <w:szCs w:val="24"/>
          <w:highlight w:val="none"/>
        </w:rPr>
      </w:pPr>
    </w:p>
    <w:p w14:paraId="7A64D670">
      <w:pPr>
        <w:spacing w:line="360" w:lineRule="auto"/>
        <w:jc w:val="center"/>
        <w:rPr>
          <w:rFonts w:ascii="宋体" w:hAnsi="宋体" w:cs="宋体"/>
          <w:color w:val="auto"/>
          <w:szCs w:val="21"/>
          <w:highlight w:val="none"/>
        </w:rPr>
      </w:pPr>
    </w:p>
    <w:p w14:paraId="19DFFCAE">
      <w:pPr>
        <w:pStyle w:val="22"/>
        <w:ind w:firstLine="480"/>
        <w:jc w:val="center"/>
        <w:rPr>
          <w:color w:val="auto"/>
          <w:highlight w:val="none"/>
        </w:rPr>
      </w:pPr>
    </w:p>
    <w:p w14:paraId="6EEA6F29">
      <w:pPr>
        <w:spacing w:beforeLines="20" w:afterLines="20" w:line="360" w:lineRule="auto"/>
        <w:jc w:val="center"/>
        <w:rPr>
          <w:rFonts w:ascii="宋体" w:hAnsi="宋体" w:cs="Calibri"/>
          <w:color w:val="auto"/>
          <w:sz w:val="36"/>
          <w:szCs w:val="36"/>
          <w:highlight w:val="none"/>
        </w:rPr>
      </w:pPr>
      <w:r>
        <w:rPr>
          <w:rFonts w:hint="eastAsia" w:ascii="Calibri" w:hAnsi="宋体" w:cs="Calibri"/>
          <w:b/>
          <w:color w:val="auto"/>
          <w:sz w:val="36"/>
          <w:szCs w:val="36"/>
          <w:highlight w:val="none"/>
        </w:rPr>
        <w:t>法定代表人身份证扫描件</w:t>
      </w:r>
    </w:p>
    <w:p w14:paraId="124A4506">
      <w:pPr>
        <w:spacing w:line="360" w:lineRule="auto"/>
        <w:jc w:val="center"/>
        <w:rPr>
          <w:rFonts w:ascii="宋体" w:hAnsi="宋体" w:cs="宋体"/>
          <w:color w:val="auto"/>
          <w:szCs w:val="21"/>
          <w:highlight w:val="none"/>
        </w:rPr>
      </w:pPr>
    </w:p>
    <w:p w14:paraId="73080D5F">
      <w:pPr>
        <w:pStyle w:val="12"/>
        <w:spacing w:line="360" w:lineRule="auto"/>
        <w:jc w:val="center"/>
        <w:rPr>
          <w:rFonts w:hAnsi="宋体" w:cs="宋体"/>
          <w:b/>
          <w:color w:val="auto"/>
          <w:sz w:val="24"/>
          <w:szCs w:val="24"/>
          <w:highlight w:val="none"/>
        </w:rPr>
      </w:pPr>
    </w:p>
    <w:p w14:paraId="4314503C">
      <w:pPr>
        <w:pStyle w:val="12"/>
        <w:spacing w:line="360" w:lineRule="auto"/>
        <w:jc w:val="center"/>
        <w:rPr>
          <w:rFonts w:hAnsi="宋体" w:cs="宋体"/>
          <w:b/>
          <w:color w:val="auto"/>
          <w:sz w:val="24"/>
          <w:szCs w:val="24"/>
          <w:highlight w:val="none"/>
        </w:rPr>
      </w:pPr>
    </w:p>
    <w:p w14:paraId="3080B5EB">
      <w:pPr>
        <w:pStyle w:val="12"/>
        <w:spacing w:line="360" w:lineRule="auto"/>
        <w:jc w:val="center"/>
        <w:rPr>
          <w:rFonts w:hAnsi="宋体" w:cs="宋体"/>
          <w:b/>
          <w:color w:val="auto"/>
          <w:sz w:val="24"/>
          <w:szCs w:val="24"/>
          <w:highlight w:val="none"/>
        </w:rPr>
      </w:pPr>
    </w:p>
    <w:p w14:paraId="17D79BAF">
      <w:pPr>
        <w:pStyle w:val="12"/>
        <w:spacing w:line="360" w:lineRule="auto"/>
        <w:jc w:val="center"/>
        <w:rPr>
          <w:rFonts w:hAnsi="宋体" w:cs="宋体"/>
          <w:b/>
          <w:color w:val="auto"/>
          <w:sz w:val="24"/>
          <w:szCs w:val="24"/>
          <w:highlight w:val="none"/>
        </w:rPr>
      </w:pPr>
    </w:p>
    <w:p w14:paraId="4BB67031">
      <w:pPr>
        <w:pStyle w:val="12"/>
        <w:spacing w:line="360" w:lineRule="auto"/>
        <w:ind w:firstLine="120" w:firstLineChars="50"/>
        <w:jc w:val="center"/>
        <w:rPr>
          <w:rFonts w:hAnsi="宋体" w:cs="宋体"/>
          <w:b/>
          <w:color w:val="auto"/>
          <w:sz w:val="24"/>
          <w:szCs w:val="24"/>
          <w:highlight w:val="none"/>
        </w:rPr>
      </w:pPr>
    </w:p>
    <w:p w14:paraId="44247EBA">
      <w:pPr>
        <w:pStyle w:val="12"/>
        <w:spacing w:line="360" w:lineRule="auto"/>
        <w:ind w:firstLine="120" w:firstLineChars="50"/>
        <w:jc w:val="center"/>
        <w:rPr>
          <w:rFonts w:hAnsi="宋体" w:cs="宋体"/>
          <w:b/>
          <w:color w:val="auto"/>
          <w:sz w:val="24"/>
          <w:szCs w:val="24"/>
          <w:highlight w:val="none"/>
        </w:rPr>
      </w:pPr>
      <w:r>
        <w:rPr>
          <w:rFonts w:hint="eastAsia" w:hAnsi="宋体" w:cs="宋体"/>
          <w:b/>
          <w:color w:val="auto"/>
          <w:sz w:val="24"/>
          <w:szCs w:val="24"/>
          <w:highlight w:val="none"/>
        </w:rPr>
        <w:t>授权委托书</w:t>
      </w:r>
      <w:bookmarkEnd w:id="12"/>
      <w:bookmarkEnd w:id="13"/>
      <w:bookmarkEnd w:id="14"/>
    </w:p>
    <w:p w14:paraId="6AE6B7B0">
      <w:pPr>
        <w:pStyle w:val="10"/>
        <w:adjustRightInd w:val="0"/>
        <w:spacing w:beforeLines="20" w:afterLines="20" w:line="360" w:lineRule="auto"/>
        <w:ind w:firstLine="480" w:firstLineChars="200"/>
        <w:rPr>
          <w:rFonts w:ascii="宋体" w:hAnsi="宋体" w:cs="宋体"/>
          <w:color w:val="auto"/>
          <w:sz w:val="24"/>
          <w:szCs w:val="24"/>
          <w:highlight w:val="none"/>
        </w:rPr>
      </w:pPr>
    </w:p>
    <w:p w14:paraId="4F5CF494">
      <w:pPr>
        <w:pStyle w:val="10"/>
        <w:adjustRightInd w:val="0"/>
        <w:spacing w:beforeLines="20"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本授权委托书声明：我（姓名）系</w:t>
      </w:r>
      <w:r>
        <w:rPr>
          <w:rFonts w:hint="eastAsia" w:ascii="宋体" w:hAnsi="宋体" w:cs="宋体"/>
          <w:color w:val="auto"/>
          <w:sz w:val="24"/>
          <w:szCs w:val="24"/>
          <w:highlight w:val="none"/>
          <w:u w:val="single"/>
        </w:rPr>
        <w:t xml:space="preserve">   （投 标 人 名 称）</w:t>
      </w:r>
      <w:r>
        <w:rPr>
          <w:rFonts w:hint="eastAsia" w:ascii="宋体" w:hAnsi="宋体" w:cs="宋体"/>
          <w:color w:val="auto"/>
          <w:sz w:val="24"/>
          <w:szCs w:val="24"/>
          <w:highlight w:val="none"/>
        </w:rPr>
        <w:t xml:space="preserve">的法定代表人，现授权委托 </w:t>
      </w:r>
      <w:r>
        <w:rPr>
          <w:rFonts w:hint="eastAsia" w:ascii="宋体" w:hAnsi="宋体" w:cs="宋体"/>
          <w:color w:val="auto"/>
          <w:sz w:val="24"/>
          <w:szCs w:val="24"/>
          <w:highlight w:val="none"/>
          <w:u w:val="single"/>
        </w:rPr>
        <w:t xml:space="preserve">    （单位名称）     </w:t>
      </w:r>
      <w:r>
        <w:rPr>
          <w:rFonts w:hint="eastAsia" w:ascii="宋体" w:hAnsi="宋体" w:cs="宋体"/>
          <w:color w:val="auto"/>
          <w:sz w:val="24"/>
          <w:szCs w:val="24"/>
          <w:highlight w:val="none"/>
        </w:rPr>
        <w:t xml:space="preserve"> 的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为我公司的合法代理人，就（合同名称）的投标、施工、竣工和保修，以本公司的名义签署投标书，解释投标文件，进行投标、签署合同和处理与之有关的一切事宜。</w:t>
      </w:r>
    </w:p>
    <w:p w14:paraId="51A12C9F">
      <w:pPr>
        <w:pStyle w:val="6"/>
        <w:adjustRightInd w:val="0"/>
        <w:spacing w:beforeLines="20" w:afterLines="20" w:line="360" w:lineRule="auto"/>
        <w:rPr>
          <w:rFonts w:ascii="宋体" w:hAnsi="宋体" w:cs="宋体"/>
          <w:color w:val="auto"/>
          <w:szCs w:val="24"/>
          <w:highlight w:val="none"/>
        </w:rPr>
      </w:pPr>
      <w:r>
        <w:rPr>
          <w:rFonts w:hint="eastAsia" w:ascii="宋体" w:hAnsi="宋体" w:cs="宋体"/>
          <w:color w:val="auto"/>
          <w:szCs w:val="24"/>
          <w:highlight w:val="none"/>
        </w:rPr>
        <w:t>代理人无转委托权，特此委托。</w:t>
      </w:r>
    </w:p>
    <w:p w14:paraId="205A9E42">
      <w:pPr>
        <w:adjustRightInd w:val="0"/>
        <w:spacing w:beforeLines="20" w:afterLines="20" w:line="360" w:lineRule="auto"/>
        <w:ind w:firstLine="1320" w:firstLineChars="550"/>
        <w:rPr>
          <w:rFonts w:ascii="宋体" w:hAnsi="宋体" w:cs="宋体"/>
          <w:color w:val="auto"/>
          <w:sz w:val="24"/>
          <w:szCs w:val="24"/>
          <w:highlight w:val="none"/>
        </w:rPr>
      </w:pPr>
    </w:p>
    <w:p w14:paraId="69142850">
      <w:pPr>
        <w:adjustRightInd w:val="0"/>
        <w:spacing w:beforeLines="20" w:afterLines="20" w:line="360" w:lineRule="auto"/>
        <w:ind w:firstLine="1320" w:firstLineChars="550"/>
        <w:rPr>
          <w:rFonts w:ascii="宋体" w:hAnsi="宋体" w:cs="宋体"/>
          <w:color w:val="auto"/>
          <w:sz w:val="24"/>
          <w:szCs w:val="24"/>
          <w:highlight w:val="none"/>
        </w:rPr>
      </w:pPr>
    </w:p>
    <w:p w14:paraId="6AF8F89B">
      <w:pPr>
        <w:adjustRightInd w:val="0"/>
        <w:spacing w:beforeLines="20" w:afterLines="20"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代  理  人：性别 ：年龄：</w:t>
      </w:r>
    </w:p>
    <w:p w14:paraId="2E91ACDE">
      <w:pPr>
        <w:adjustRightInd w:val="0"/>
        <w:spacing w:beforeLines="20" w:afterLines="20" w:line="360" w:lineRule="auto"/>
        <w:ind w:left="1120"/>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身份证号码：职务：</w:t>
      </w:r>
    </w:p>
    <w:p w14:paraId="5570A7AA">
      <w:pPr>
        <w:adjustRightInd w:val="0"/>
        <w:spacing w:beforeLines="20" w:afterLines="20"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 xml:space="preserve">     （盖公章）</w:t>
      </w:r>
    </w:p>
    <w:p w14:paraId="58E51716">
      <w:pPr>
        <w:adjustRightInd w:val="0"/>
        <w:spacing w:beforeLines="20" w:afterLines="20" w:line="360" w:lineRule="auto"/>
        <w:ind w:left="840" w:leftChars="400"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bookmarkStart w:id="15" w:name="_Toc171581549"/>
      <w:bookmarkStart w:id="16" w:name="_Toc171741992"/>
      <w:bookmarkStart w:id="17" w:name="_Toc171581369"/>
    </w:p>
    <w:p w14:paraId="2ECEEA2B">
      <w:pPr>
        <w:adjustRightInd w:val="0"/>
        <w:spacing w:beforeLines="20" w:afterLines="20" w:line="360" w:lineRule="auto"/>
        <w:ind w:left="1200"/>
        <w:rPr>
          <w:rFonts w:ascii="宋体" w:hAnsi="宋体" w:cs="宋体"/>
          <w:color w:val="auto"/>
          <w:sz w:val="24"/>
          <w:szCs w:val="24"/>
          <w:highlight w:val="none"/>
          <w:u w:val="single"/>
        </w:rPr>
      </w:pPr>
      <w:r>
        <w:rPr>
          <w:rFonts w:hint="eastAsia" w:ascii="宋体" w:hAnsi="宋体" w:cs="宋体"/>
          <w:color w:val="auto"/>
          <w:sz w:val="24"/>
          <w:szCs w:val="24"/>
          <w:highlight w:val="none"/>
        </w:rPr>
        <w:t>授权委托日期：     年     月     日</w:t>
      </w:r>
      <w:bookmarkEnd w:id="15"/>
      <w:bookmarkEnd w:id="16"/>
      <w:bookmarkEnd w:id="17"/>
    </w:p>
    <w:p w14:paraId="2C9405E6">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708E9B24">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4FA3DED8">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55780CDD">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10748C0C">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71A89137">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7AC5D845">
      <w:pPr>
        <w:tabs>
          <w:tab w:val="left" w:pos="7560"/>
        </w:tabs>
        <w:spacing w:beforeLines="20" w:afterLines="20" w:line="360" w:lineRule="auto"/>
        <w:jc w:val="center"/>
        <w:rPr>
          <w:rFonts w:ascii="Calibri" w:hAnsi="宋体" w:cs="Calibri"/>
          <w:b/>
          <w:color w:val="auto"/>
          <w:sz w:val="32"/>
          <w:szCs w:val="32"/>
          <w:highlight w:val="none"/>
        </w:rPr>
      </w:pPr>
      <w:r>
        <w:rPr>
          <w:rFonts w:hint="eastAsia" w:ascii="Calibri" w:hAnsi="宋体" w:cs="Calibri"/>
          <w:b/>
          <w:color w:val="auto"/>
          <w:sz w:val="32"/>
          <w:szCs w:val="32"/>
          <w:highlight w:val="none"/>
        </w:rPr>
        <w:t>授权委托人身份证扫描件</w:t>
      </w:r>
    </w:p>
    <w:p w14:paraId="6A11CEE5">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21DD5722">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6BDC7F3B">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14BFCE6A">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3090766B">
      <w:pPr>
        <w:tabs>
          <w:tab w:val="left" w:pos="7560"/>
        </w:tabs>
        <w:adjustRightInd w:val="0"/>
        <w:spacing w:beforeLines="20" w:afterLines="20" w:line="360" w:lineRule="auto"/>
        <w:ind w:firstLine="640" w:firstLineChars="200"/>
        <w:jc w:val="center"/>
        <w:rPr>
          <w:rFonts w:ascii="宋体" w:hAnsi="宋体" w:cs="宋体"/>
          <w:b/>
          <w:bCs/>
          <w:color w:val="auto"/>
          <w:sz w:val="32"/>
          <w:szCs w:val="32"/>
          <w:highlight w:val="none"/>
        </w:rPr>
      </w:pPr>
    </w:p>
    <w:p w14:paraId="3070356E">
      <w:pPr>
        <w:tabs>
          <w:tab w:val="left" w:pos="7560"/>
        </w:tabs>
        <w:adjustRightInd w:val="0"/>
        <w:spacing w:beforeLines="20" w:afterLines="20" w:line="360" w:lineRule="auto"/>
        <w:ind w:firstLine="640"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诚信承诺书</w:t>
      </w:r>
    </w:p>
    <w:p w14:paraId="4E1C58BA">
      <w:pPr>
        <w:spacing w:line="460" w:lineRule="exact"/>
        <w:rPr>
          <w:rFonts w:hint="eastAsia" w:ascii="宋体" w:hAnsi="宋体"/>
          <w:color w:val="auto"/>
          <w:sz w:val="24"/>
          <w:highlight w:val="none"/>
        </w:rPr>
      </w:pPr>
      <w:r>
        <w:rPr>
          <w:rFonts w:hint="eastAsia" w:ascii="宋体" w:hAnsi="宋体"/>
          <w:color w:val="auto"/>
          <w:sz w:val="24"/>
          <w:highlight w:val="none"/>
        </w:rPr>
        <w:t>致招标人：</w:t>
      </w:r>
      <w:r>
        <w:rPr>
          <w:rFonts w:hint="eastAsia" w:ascii="宋体" w:hAnsi="宋体"/>
          <w:color w:val="auto"/>
          <w:sz w:val="24"/>
          <w:highlight w:val="none"/>
          <w:u w:val="single"/>
        </w:rPr>
        <w:t xml:space="preserve">                      </w:t>
      </w:r>
    </w:p>
    <w:p w14:paraId="0CC8559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我单位在参加</w:t>
      </w:r>
      <w:r>
        <w:rPr>
          <w:rFonts w:hint="eastAsia" w:ascii="宋体" w:hAnsi="宋体"/>
          <w:color w:val="auto"/>
          <w:sz w:val="24"/>
          <w:highlight w:val="none"/>
          <w:u w:val="single"/>
        </w:rPr>
        <w:t xml:space="preserve">                            </w:t>
      </w:r>
      <w:r>
        <w:rPr>
          <w:rFonts w:hint="eastAsia" w:ascii="宋体" w:hAnsi="宋体"/>
          <w:color w:val="auto"/>
          <w:sz w:val="24"/>
          <w:highlight w:val="none"/>
        </w:rPr>
        <w:t>项目的交易活动过程中，郑重承诺如下：</w:t>
      </w:r>
    </w:p>
    <w:p w14:paraId="0C58FAB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一、确保提供的一切材料均为真实、合法和有效。</w:t>
      </w:r>
    </w:p>
    <w:p w14:paraId="5CDA962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二、不受让、租借他人资格、资质证书，不以他人名义投标；不以伪造、变造等其他方式弄虚作假，骗取中标。</w:t>
      </w:r>
    </w:p>
    <w:p w14:paraId="2F6EAB7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三、不与招标人、招标代理机构或其他投标人串通投标。</w:t>
      </w:r>
    </w:p>
    <w:p w14:paraId="6A667F6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四、不以向招标人、评标委员会成员或其他相关人员行贿方式牟取中标。</w:t>
      </w:r>
    </w:p>
    <w:p w14:paraId="1716E4B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五、在行使异议、质疑、投诉权利时，提供真实、合法、充分的材料，不捏造事实、伪造材料或以其他非法手段取得证明材料。</w:t>
      </w:r>
    </w:p>
    <w:p w14:paraId="752A334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六、中标后，及时办理中标相关手续，并按照交易文件的约定，与招标人依法签订合同。</w:t>
      </w:r>
    </w:p>
    <w:p w14:paraId="5D60200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七、在履约过程中，严格按照交易文件及合同约定履行义务；除法律法规允许外，在价格、质量、工期（供货期）、人员组成等方面不做任何有悖于交易文件实质性内容行为。</w:t>
      </w:r>
    </w:p>
    <w:p w14:paraId="778AFDB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八、至投标截止之日，我公司及本项目拟派</w:t>
      </w:r>
      <w:r>
        <w:rPr>
          <w:rFonts w:hint="eastAsia" w:ascii="宋体" w:hAnsi="宋体"/>
          <w:color w:val="auto"/>
          <w:sz w:val="24"/>
          <w:highlight w:val="none"/>
          <w:lang w:eastAsia="zh-CN"/>
        </w:rPr>
        <w:t>总监理工程师</w:t>
      </w:r>
      <w:r>
        <w:rPr>
          <w:rFonts w:hint="eastAsia" w:ascii="宋体" w:hAnsi="宋体"/>
          <w:color w:val="auto"/>
          <w:sz w:val="24"/>
          <w:highlight w:val="none"/>
        </w:rPr>
        <w:t>不在受到招投标行政监管部门（或政府行业监管部门）限制投标的行政处罚期内，不在政府行业监管部门限制在本市承揽业务的行政处理期内。</w:t>
      </w:r>
    </w:p>
    <w:p w14:paraId="00B14EC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九、至投标截止日，我公司及拟派</w:t>
      </w:r>
      <w:r>
        <w:rPr>
          <w:rFonts w:hint="eastAsia" w:ascii="宋体" w:hAnsi="宋体"/>
          <w:color w:val="auto"/>
          <w:sz w:val="24"/>
          <w:highlight w:val="none"/>
          <w:lang w:eastAsia="zh-CN"/>
        </w:rPr>
        <w:t>总监理工程师</w:t>
      </w:r>
      <w:r>
        <w:rPr>
          <w:rFonts w:hint="eastAsia" w:ascii="宋体" w:hAnsi="宋体"/>
          <w:color w:val="auto"/>
          <w:sz w:val="24"/>
          <w:highlight w:val="none"/>
        </w:rPr>
        <w:t>（项目负责人）未被人民法院列入失信被执行人、未被人力资源社会保障行政部门列入拖欠农民工工资“失信名单”、我公司近3年内无行贿犯罪记录。</w:t>
      </w:r>
    </w:p>
    <w:p w14:paraId="450498A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以上内容我单位已仔细阅读，若有违反承诺内容的行为，自愿接受限制投标资格、记入不良行为记录、取消中标资格等处罚或处理；给招标人或其他投标人造成损失的，自愿依法承担赔偿责任。</w:t>
      </w:r>
    </w:p>
    <w:p w14:paraId="55DDDA1D">
      <w:pPr>
        <w:tabs>
          <w:tab w:val="left" w:pos="7560"/>
        </w:tabs>
        <w:adjustRightInd w:val="0"/>
        <w:spacing w:beforeLines="20" w:afterLines="20" w:line="360" w:lineRule="auto"/>
        <w:ind w:firstLine="480" w:firstLineChars="200"/>
        <w:jc w:val="left"/>
        <w:rPr>
          <w:rFonts w:ascii="宋体" w:hAnsi="宋体"/>
          <w:color w:val="auto"/>
          <w:sz w:val="24"/>
          <w:szCs w:val="24"/>
          <w:highlight w:val="none"/>
        </w:rPr>
      </w:pPr>
    </w:p>
    <w:p w14:paraId="2141E654">
      <w:pPr>
        <w:tabs>
          <w:tab w:val="left" w:pos="7560"/>
        </w:tabs>
        <w:adjustRightInd w:val="0"/>
        <w:spacing w:beforeLines="20" w:afterLines="2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投标单位：</w:t>
      </w:r>
      <w:r>
        <w:rPr>
          <w:rFonts w:hint="eastAsia" w:ascii="宋体" w:hAnsi="宋体"/>
          <w:color w:val="auto"/>
          <w:sz w:val="24"/>
          <w:szCs w:val="24"/>
          <w:highlight w:val="none"/>
          <w:u w:val="single"/>
        </w:rPr>
        <w:t xml:space="preserve">                        （盖章）</w:t>
      </w:r>
    </w:p>
    <w:p w14:paraId="62286DB4">
      <w:pPr>
        <w:tabs>
          <w:tab w:val="left" w:pos="7560"/>
        </w:tabs>
        <w:adjustRightInd w:val="0"/>
        <w:spacing w:beforeLines="20" w:afterLines="20" w:line="360" w:lineRule="auto"/>
        <w:ind w:firstLine="480" w:firstLineChars="200"/>
        <w:jc w:val="left"/>
        <w:rPr>
          <w:rFonts w:ascii="宋体" w:hAnsi="宋体"/>
          <w:b/>
          <w:bCs/>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（签名或盖章）</w:t>
      </w:r>
    </w:p>
    <w:p w14:paraId="1583E5B0">
      <w:pPr>
        <w:tabs>
          <w:tab w:val="left" w:pos="7560"/>
        </w:tabs>
        <w:adjustRightInd w:val="0"/>
        <w:spacing w:beforeLines="20" w:afterLines="20" w:line="360" w:lineRule="auto"/>
        <w:ind w:firstLine="421"/>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年     月     日</w:t>
      </w:r>
    </w:p>
    <w:p w14:paraId="11678475">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08E666DD">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1A7B484D">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14:paraId="3AB99881">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承  诺  书</w:t>
      </w:r>
    </w:p>
    <w:p w14:paraId="33B2643E">
      <w:pPr>
        <w:spacing w:line="360" w:lineRule="auto"/>
        <w:jc w:val="center"/>
        <w:rPr>
          <w:rFonts w:ascii="宋体" w:hAnsi="宋体" w:cs="宋体"/>
          <w:b/>
          <w:bCs/>
          <w:color w:val="auto"/>
          <w:sz w:val="24"/>
          <w:szCs w:val="24"/>
          <w:highlight w:val="none"/>
        </w:rPr>
      </w:pPr>
    </w:p>
    <w:p w14:paraId="75F6E03B">
      <w:pPr>
        <w:adjustRightInd w:val="0"/>
        <w:snapToGrid w:val="0"/>
        <w:spacing w:line="360" w:lineRule="auto"/>
        <w:jc w:val="center"/>
        <w:rPr>
          <w:rFonts w:ascii="宋体" w:hAnsi="宋体" w:cs="宋体"/>
          <w:bCs/>
          <w:color w:val="auto"/>
          <w:sz w:val="24"/>
          <w:szCs w:val="24"/>
          <w:highlight w:val="none"/>
        </w:rPr>
      </w:pPr>
    </w:p>
    <w:p w14:paraId="2A1EEC57">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致：</w:t>
      </w:r>
      <w:r>
        <w:rPr>
          <w:rFonts w:hint="eastAsia" w:ascii="宋体" w:hAnsi="宋体" w:cs="宋体"/>
          <w:color w:val="auto"/>
          <w:sz w:val="24"/>
          <w:szCs w:val="24"/>
          <w:highlight w:val="none"/>
          <w:u w:val="single"/>
        </w:rPr>
        <w:t xml:space="preserve">   （招 标  人  名  称）  </w:t>
      </w:r>
    </w:p>
    <w:p w14:paraId="3DCC3512">
      <w:pPr>
        <w:adjustRightInd w:val="0"/>
        <w:snapToGrid w:val="0"/>
        <w:spacing w:line="360" w:lineRule="auto"/>
        <w:rPr>
          <w:rFonts w:ascii="宋体" w:hAnsi="宋体" w:cs="宋体"/>
          <w:bCs/>
          <w:color w:val="auto"/>
          <w:sz w:val="24"/>
          <w:szCs w:val="24"/>
          <w:highlight w:val="none"/>
        </w:rPr>
      </w:pPr>
    </w:p>
    <w:p w14:paraId="36D0F0EF">
      <w:pPr>
        <w:adjustRightInd w:val="0"/>
        <w:snapToGrid w:val="0"/>
        <w:spacing w:line="360" w:lineRule="auto"/>
        <w:ind w:firstLine="570"/>
        <w:rPr>
          <w:rFonts w:ascii="宋体" w:hAnsi="宋体" w:cs="宋体"/>
          <w:b/>
          <w:color w:val="auto"/>
          <w:sz w:val="24"/>
          <w:szCs w:val="24"/>
          <w:highlight w:val="none"/>
        </w:rPr>
      </w:pPr>
      <w:r>
        <w:rPr>
          <w:rFonts w:hint="eastAsia" w:ascii="宋体" w:hAnsi="宋体" w:cs="宋体"/>
          <w:bCs/>
          <w:color w:val="auto"/>
          <w:sz w:val="24"/>
          <w:szCs w:val="24"/>
          <w:highlight w:val="none"/>
        </w:rPr>
        <w:t>如中标，参与工程的施工监理，我公司将派具有类似监理经验的（填写项目总监名称、监理资格证书编号）为本工程的项目总监，并保证项目总监到位率在</w:t>
      </w:r>
      <w:r>
        <w:rPr>
          <w:rFonts w:hint="eastAsia"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%，即每月不少于</w:t>
      </w:r>
      <w:r>
        <w:rPr>
          <w:rFonts w:hint="eastAsia" w:ascii="宋体" w:hAnsi="宋体" w:cs="宋体"/>
          <w:bCs/>
          <w:color w:val="auto"/>
          <w:sz w:val="24"/>
          <w:szCs w:val="24"/>
          <w:highlight w:val="none"/>
          <w:u w:val="single"/>
        </w:rPr>
        <w:t xml:space="preserve"> 2</w:t>
      </w:r>
      <w:r>
        <w:rPr>
          <w:rFonts w:ascii="宋体" w:hAnsi="宋体" w:cs="宋体"/>
          <w:bCs/>
          <w:color w:val="auto"/>
          <w:sz w:val="24"/>
          <w:szCs w:val="24"/>
          <w:highlight w:val="none"/>
          <w:u w:val="single"/>
        </w:rPr>
        <w:t>2</w:t>
      </w:r>
      <w:r>
        <w:rPr>
          <w:rFonts w:hint="eastAsia" w:ascii="宋体" w:hAnsi="宋体" w:cs="宋体"/>
          <w:bCs/>
          <w:color w:val="auto"/>
          <w:sz w:val="24"/>
          <w:szCs w:val="24"/>
          <w:highlight w:val="none"/>
        </w:rPr>
        <w:t>日历天，合同期间不再担任其他工程监理业务。现场固定监理人员数每天不少于本工程监理机构人员配备最低要求规定的人数，每月到位率100%。如违反此承诺，愿按合同有关规定接受处罚。</w:t>
      </w:r>
    </w:p>
    <w:p w14:paraId="53F49CF0">
      <w:pPr>
        <w:adjustRightInd w:val="0"/>
        <w:snapToGrid w:val="0"/>
        <w:spacing w:line="360" w:lineRule="auto"/>
        <w:ind w:firstLine="570"/>
        <w:rPr>
          <w:rFonts w:ascii="宋体" w:hAnsi="宋体" w:cs="宋体"/>
          <w:b/>
          <w:color w:val="auto"/>
          <w:sz w:val="24"/>
          <w:szCs w:val="24"/>
          <w:highlight w:val="none"/>
        </w:rPr>
      </w:pPr>
    </w:p>
    <w:p w14:paraId="0751272F">
      <w:pPr>
        <w:adjustRightInd w:val="0"/>
        <w:snapToGrid w:val="0"/>
        <w:spacing w:line="360" w:lineRule="auto"/>
        <w:ind w:firstLine="570"/>
        <w:rPr>
          <w:rFonts w:ascii="宋体" w:hAnsi="宋体" w:cs="宋体"/>
          <w:bCs/>
          <w:color w:val="auto"/>
          <w:sz w:val="24"/>
          <w:szCs w:val="24"/>
          <w:highlight w:val="none"/>
        </w:rPr>
      </w:pPr>
    </w:p>
    <w:p w14:paraId="0AE02CC7">
      <w:pPr>
        <w:adjustRightInd w:val="0"/>
        <w:snapToGrid w:val="0"/>
        <w:spacing w:line="360" w:lineRule="auto"/>
        <w:ind w:firstLine="570"/>
        <w:rPr>
          <w:rFonts w:ascii="宋体" w:hAnsi="宋体" w:cs="宋体"/>
          <w:bCs/>
          <w:color w:val="auto"/>
          <w:sz w:val="24"/>
          <w:szCs w:val="24"/>
          <w:highlight w:val="none"/>
        </w:rPr>
      </w:pPr>
      <w:r>
        <w:rPr>
          <w:rFonts w:hint="eastAsia" w:ascii="宋体" w:hAnsi="宋体" w:cs="宋体"/>
          <w:bCs/>
          <w:color w:val="auto"/>
          <w:sz w:val="24"/>
          <w:szCs w:val="24"/>
          <w:highlight w:val="none"/>
        </w:rPr>
        <w:t>投标人名称（盖章）：</w:t>
      </w:r>
    </w:p>
    <w:p w14:paraId="13A9475C">
      <w:pPr>
        <w:adjustRightInd w:val="0"/>
        <w:snapToGrid w:val="0"/>
        <w:spacing w:line="360" w:lineRule="auto"/>
        <w:ind w:firstLine="570"/>
        <w:rPr>
          <w:rFonts w:ascii="宋体" w:hAnsi="宋体" w:cs="宋体"/>
          <w:bCs/>
          <w:color w:val="auto"/>
          <w:sz w:val="24"/>
          <w:szCs w:val="24"/>
          <w:highlight w:val="none"/>
        </w:rPr>
      </w:pPr>
    </w:p>
    <w:p w14:paraId="3D2FE085">
      <w:pPr>
        <w:adjustRightInd w:val="0"/>
        <w:snapToGrid w:val="0"/>
        <w:spacing w:line="360" w:lineRule="auto"/>
        <w:ind w:firstLine="570"/>
        <w:rPr>
          <w:rFonts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7E4E3E2A">
      <w:pPr>
        <w:adjustRightInd w:val="0"/>
        <w:snapToGrid w:val="0"/>
        <w:spacing w:line="360" w:lineRule="auto"/>
        <w:ind w:firstLine="570"/>
        <w:rPr>
          <w:rFonts w:ascii="宋体" w:hAnsi="宋体" w:cs="宋体"/>
          <w:bCs/>
          <w:color w:val="auto"/>
          <w:sz w:val="24"/>
          <w:szCs w:val="24"/>
          <w:highlight w:val="none"/>
        </w:rPr>
      </w:pPr>
    </w:p>
    <w:p w14:paraId="45E5EC08">
      <w:pPr>
        <w:adjustRightInd w:val="0"/>
        <w:snapToGrid w:val="0"/>
        <w:spacing w:line="360" w:lineRule="auto"/>
        <w:ind w:firstLine="570"/>
        <w:rPr>
          <w:rFonts w:ascii="宋体" w:hAnsi="宋体" w:cs="宋体"/>
          <w:bCs/>
          <w:color w:val="auto"/>
          <w:sz w:val="24"/>
          <w:szCs w:val="24"/>
          <w:highlight w:val="none"/>
        </w:rPr>
      </w:pPr>
      <w:r>
        <w:rPr>
          <w:rFonts w:hint="eastAsia" w:ascii="宋体" w:hAnsi="宋体" w:cs="宋体"/>
          <w:bCs/>
          <w:color w:val="auto"/>
          <w:sz w:val="24"/>
          <w:szCs w:val="24"/>
          <w:highlight w:val="none"/>
        </w:rPr>
        <w:t>日             期：      年  月  日</w:t>
      </w:r>
    </w:p>
    <w:p w14:paraId="0F2E95C2">
      <w:pPr>
        <w:spacing w:line="360" w:lineRule="auto"/>
        <w:jc w:val="center"/>
        <w:rPr>
          <w:rFonts w:ascii="宋体" w:hAnsi="宋体" w:cs="宋体"/>
          <w:b/>
          <w:color w:val="auto"/>
          <w:sz w:val="24"/>
          <w:szCs w:val="24"/>
          <w:highlight w:val="none"/>
        </w:rPr>
      </w:pPr>
    </w:p>
    <w:p w14:paraId="6652E4D1">
      <w:pPr>
        <w:spacing w:line="360" w:lineRule="auto"/>
        <w:jc w:val="center"/>
        <w:rPr>
          <w:rFonts w:ascii="宋体" w:hAnsi="宋体" w:cs="宋体"/>
          <w:b/>
          <w:color w:val="auto"/>
          <w:sz w:val="24"/>
          <w:szCs w:val="24"/>
          <w:highlight w:val="none"/>
        </w:rPr>
      </w:pPr>
    </w:p>
    <w:p w14:paraId="20655DBA">
      <w:pPr>
        <w:spacing w:line="360" w:lineRule="auto"/>
        <w:jc w:val="center"/>
        <w:rPr>
          <w:rFonts w:ascii="宋体" w:hAnsi="宋体" w:cs="宋体"/>
          <w:b/>
          <w:color w:val="auto"/>
          <w:sz w:val="24"/>
          <w:szCs w:val="24"/>
          <w:highlight w:val="none"/>
        </w:rPr>
      </w:pPr>
    </w:p>
    <w:p w14:paraId="0C491343">
      <w:pPr>
        <w:spacing w:line="360" w:lineRule="auto"/>
        <w:jc w:val="center"/>
        <w:rPr>
          <w:rFonts w:ascii="宋体" w:hAnsi="宋体" w:cs="宋体"/>
          <w:b/>
          <w:color w:val="auto"/>
          <w:sz w:val="24"/>
          <w:szCs w:val="24"/>
          <w:highlight w:val="none"/>
        </w:rPr>
      </w:pPr>
    </w:p>
    <w:p w14:paraId="38CB401C">
      <w:pPr>
        <w:spacing w:line="360" w:lineRule="auto"/>
        <w:jc w:val="center"/>
        <w:rPr>
          <w:rFonts w:ascii="宋体" w:hAnsi="宋体" w:cs="宋体"/>
          <w:b/>
          <w:color w:val="auto"/>
          <w:sz w:val="24"/>
          <w:szCs w:val="24"/>
          <w:highlight w:val="none"/>
        </w:rPr>
      </w:pPr>
    </w:p>
    <w:p w14:paraId="284E8301">
      <w:pPr>
        <w:spacing w:line="360" w:lineRule="auto"/>
        <w:jc w:val="center"/>
        <w:rPr>
          <w:rFonts w:ascii="宋体" w:hAnsi="宋体" w:cs="宋体"/>
          <w:b/>
          <w:color w:val="auto"/>
          <w:sz w:val="24"/>
          <w:szCs w:val="24"/>
          <w:highlight w:val="none"/>
        </w:rPr>
      </w:pPr>
    </w:p>
    <w:p w14:paraId="11353611">
      <w:pPr>
        <w:spacing w:line="360" w:lineRule="auto"/>
        <w:jc w:val="center"/>
        <w:rPr>
          <w:rFonts w:ascii="宋体" w:hAnsi="宋体" w:cs="宋体"/>
          <w:b/>
          <w:color w:val="auto"/>
          <w:sz w:val="24"/>
          <w:szCs w:val="24"/>
          <w:highlight w:val="none"/>
        </w:rPr>
      </w:pPr>
    </w:p>
    <w:p w14:paraId="2E6E3238">
      <w:pPr>
        <w:spacing w:line="360" w:lineRule="auto"/>
        <w:jc w:val="center"/>
        <w:rPr>
          <w:rFonts w:ascii="宋体" w:hAnsi="宋体" w:cs="宋体"/>
          <w:b/>
          <w:color w:val="auto"/>
          <w:sz w:val="24"/>
          <w:szCs w:val="24"/>
          <w:highlight w:val="none"/>
        </w:rPr>
      </w:pPr>
    </w:p>
    <w:p w14:paraId="0FF7F4F3">
      <w:pPr>
        <w:spacing w:line="360" w:lineRule="auto"/>
        <w:jc w:val="center"/>
        <w:rPr>
          <w:rFonts w:ascii="宋体" w:hAnsi="宋体" w:cs="宋体"/>
          <w:b/>
          <w:color w:val="auto"/>
          <w:sz w:val="24"/>
          <w:szCs w:val="24"/>
          <w:highlight w:val="none"/>
        </w:rPr>
      </w:pPr>
    </w:p>
    <w:p w14:paraId="31100A79">
      <w:pPr>
        <w:spacing w:line="360" w:lineRule="auto"/>
        <w:jc w:val="center"/>
        <w:rPr>
          <w:rFonts w:ascii="宋体" w:hAnsi="宋体" w:cs="宋体"/>
          <w:b/>
          <w:color w:val="auto"/>
          <w:sz w:val="24"/>
          <w:szCs w:val="24"/>
          <w:highlight w:val="none"/>
        </w:rPr>
      </w:pPr>
    </w:p>
    <w:p w14:paraId="128D5859">
      <w:pPr>
        <w:spacing w:line="360" w:lineRule="auto"/>
        <w:jc w:val="center"/>
        <w:rPr>
          <w:rFonts w:ascii="宋体" w:hAnsi="宋体" w:cs="宋体"/>
          <w:b/>
          <w:color w:val="auto"/>
          <w:sz w:val="24"/>
          <w:szCs w:val="24"/>
          <w:highlight w:val="none"/>
        </w:rPr>
      </w:pPr>
    </w:p>
    <w:p w14:paraId="0F1ED71C">
      <w:pPr>
        <w:spacing w:line="360" w:lineRule="auto"/>
        <w:jc w:val="center"/>
        <w:rPr>
          <w:rFonts w:ascii="宋体" w:hAnsi="宋体" w:cs="宋体"/>
          <w:b/>
          <w:color w:val="auto"/>
          <w:sz w:val="24"/>
          <w:szCs w:val="24"/>
          <w:highlight w:val="none"/>
        </w:rPr>
      </w:pPr>
    </w:p>
    <w:p w14:paraId="7F7A8BC3">
      <w:pPr>
        <w:pStyle w:val="59"/>
        <w:rPr>
          <w:rFonts w:ascii="等线" w:hAnsi="等线" w:eastAsia="等线" w:cs="等线"/>
          <w:color w:val="auto"/>
          <w:highlight w:val="none"/>
        </w:rPr>
      </w:pPr>
    </w:p>
    <w:p w14:paraId="1B7CA32B">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业已完成类似工程监理合同一览表</w:t>
      </w:r>
    </w:p>
    <w:p w14:paraId="633B9E22">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1AF2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1C8A886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14:paraId="529B6603">
            <w:pPr>
              <w:spacing w:line="360" w:lineRule="auto"/>
              <w:jc w:val="center"/>
              <w:rPr>
                <w:rFonts w:ascii="宋体" w:hAnsi="宋体" w:cs="宋体"/>
                <w:color w:val="auto"/>
                <w:sz w:val="24"/>
                <w:szCs w:val="24"/>
                <w:highlight w:val="none"/>
              </w:rPr>
            </w:pPr>
          </w:p>
        </w:tc>
      </w:tr>
      <w:tr w14:paraId="0386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739F47A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14:paraId="5B140769">
            <w:pPr>
              <w:spacing w:line="360" w:lineRule="auto"/>
              <w:jc w:val="center"/>
              <w:rPr>
                <w:rFonts w:ascii="宋体" w:hAnsi="宋体" w:cs="宋体"/>
                <w:color w:val="auto"/>
                <w:sz w:val="24"/>
                <w:szCs w:val="24"/>
                <w:highlight w:val="none"/>
              </w:rPr>
            </w:pPr>
          </w:p>
        </w:tc>
      </w:tr>
      <w:tr w14:paraId="0035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5A48FAF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14:paraId="0BF6F1B1">
            <w:pPr>
              <w:spacing w:line="360" w:lineRule="auto"/>
              <w:jc w:val="center"/>
              <w:rPr>
                <w:rFonts w:ascii="宋体" w:hAnsi="宋体" w:cs="宋体"/>
                <w:color w:val="auto"/>
                <w:sz w:val="24"/>
                <w:szCs w:val="24"/>
                <w:highlight w:val="none"/>
              </w:rPr>
            </w:pPr>
          </w:p>
        </w:tc>
      </w:tr>
      <w:tr w14:paraId="331D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0CF833F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14:paraId="04F515A4">
            <w:pPr>
              <w:spacing w:line="360" w:lineRule="auto"/>
              <w:jc w:val="center"/>
              <w:rPr>
                <w:rFonts w:ascii="宋体" w:hAnsi="宋体" w:cs="宋体"/>
                <w:color w:val="auto"/>
                <w:sz w:val="24"/>
                <w:szCs w:val="24"/>
                <w:highlight w:val="none"/>
              </w:rPr>
            </w:pPr>
          </w:p>
        </w:tc>
        <w:tc>
          <w:tcPr>
            <w:tcW w:w="1849" w:type="dxa"/>
            <w:noWrap/>
          </w:tcPr>
          <w:p w14:paraId="539BCE6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14:paraId="65C49C83">
            <w:pPr>
              <w:spacing w:line="360" w:lineRule="auto"/>
              <w:jc w:val="center"/>
              <w:rPr>
                <w:rFonts w:ascii="宋体" w:hAnsi="宋体" w:cs="宋体"/>
                <w:color w:val="auto"/>
                <w:sz w:val="24"/>
                <w:szCs w:val="24"/>
                <w:highlight w:val="none"/>
              </w:rPr>
            </w:pPr>
          </w:p>
        </w:tc>
      </w:tr>
      <w:tr w14:paraId="607E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72A299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2700" w:type="dxa"/>
            <w:noWrap/>
          </w:tcPr>
          <w:p w14:paraId="75D39912">
            <w:pPr>
              <w:spacing w:line="360" w:lineRule="auto"/>
              <w:jc w:val="center"/>
              <w:rPr>
                <w:rFonts w:ascii="宋体" w:hAnsi="宋体" w:cs="宋体"/>
                <w:color w:val="auto"/>
                <w:sz w:val="24"/>
                <w:szCs w:val="24"/>
                <w:highlight w:val="none"/>
              </w:rPr>
            </w:pPr>
          </w:p>
        </w:tc>
        <w:tc>
          <w:tcPr>
            <w:tcW w:w="1849" w:type="dxa"/>
            <w:noWrap/>
          </w:tcPr>
          <w:p w14:paraId="167D8C2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监理服务费</w:t>
            </w:r>
          </w:p>
        </w:tc>
        <w:tc>
          <w:tcPr>
            <w:tcW w:w="2011" w:type="dxa"/>
            <w:noWrap/>
          </w:tcPr>
          <w:p w14:paraId="546F90C0">
            <w:pPr>
              <w:spacing w:line="360" w:lineRule="auto"/>
              <w:jc w:val="center"/>
              <w:rPr>
                <w:rFonts w:ascii="宋体" w:hAnsi="宋体" w:cs="宋体"/>
                <w:color w:val="auto"/>
                <w:sz w:val="24"/>
                <w:szCs w:val="24"/>
                <w:highlight w:val="none"/>
              </w:rPr>
            </w:pPr>
          </w:p>
        </w:tc>
      </w:tr>
      <w:tr w14:paraId="209C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31329F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项目总监理工程师</w:t>
            </w:r>
          </w:p>
        </w:tc>
        <w:tc>
          <w:tcPr>
            <w:tcW w:w="2700" w:type="dxa"/>
            <w:noWrap/>
          </w:tcPr>
          <w:p w14:paraId="66EB74EE">
            <w:pPr>
              <w:spacing w:line="360" w:lineRule="auto"/>
              <w:jc w:val="center"/>
              <w:rPr>
                <w:rFonts w:ascii="宋体" w:hAnsi="宋体" w:cs="宋体"/>
                <w:color w:val="auto"/>
                <w:sz w:val="24"/>
                <w:szCs w:val="24"/>
                <w:highlight w:val="none"/>
              </w:rPr>
            </w:pPr>
          </w:p>
        </w:tc>
        <w:tc>
          <w:tcPr>
            <w:tcW w:w="1849" w:type="dxa"/>
            <w:noWrap/>
          </w:tcPr>
          <w:p w14:paraId="7214607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14:paraId="06749F86">
            <w:pPr>
              <w:spacing w:line="360" w:lineRule="auto"/>
              <w:jc w:val="center"/>
              <w:rPr>
                <w:rFonts w:ascii="宋体" w:hAnsi="宋体" w:cs="宋体"/>
                <w:color w:val="auto"/>
                <w:sz w:val="24"/>
                <w:szCs w:val="24"/>
                <w:highlight w:val="none"/>
              </w:rPr>
            </w:pPr>
          </w:p>
        </w:tc>
      </w:tr>
      <w:tr w14:paraId="63D3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5312874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6560" w:type="dxa"/>
            <w:gridSpan w:val="3"/>
            <w:noWrap/>
          </w:tcPr>
          <w:p w14:paraId="18C11A9F">
            <w:pPr>
              <w:spacing w:line="360" w:lineRule="auto"/>
              <w:jc w:val="center"/>
              <w:rPr>
                <w:rFonts w:ascii="宋体" w:hAnsi="宋体" w:cs="宋体"/>
                <w:color w:val="auto"/>
                <w:sz w:val="24"/>
                <w:szCs w:val="24"/>
                <w:highlight w:val="none"/>
              </w:rPr>
            </w:pPr>
          </w:p>
        </w:tc>
      </w:tr>
      <w:tr w14:paraId="1AEC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1C7AF95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受奖罚情况</w:t>
            </w:r>
          </w:p>
        </w:tc>
        <w:tc>
          <w:tcPr>
            <w:tcW w:w="6560" w:type="dxa"/>
            <w:gridSpan w:val="3"/>
            <w:noWrap/>
          </w:tcPr>
          <w:p w14:paraId="6D2D81BC">
            <w:pPr>
              <w:spacing w:line="360" w:lineRule="auto"/>
              <w:jc w:val="center"/>
              <w:rPr>
                <w:rFonts w:ascii="宋体" w:hAnsi="宋体" w:cs="宋体"/>
                <w:color w:val="auto"/>
                <w:sz w:val="24"/>
                <w:szCs w:val="24"/>
                <w:highlight w:val="none"/>
              </w:rPr>
            </w:pPr>
          </w:p>
        </w:tc>
      </w:tr>
      <w:tr w14:paraId="1BAB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14:paraId="5777953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14:paraId="4A6D6CB0">
            <w:pPr>
              <w:spacing w:line="360" w:lineRule="auto"/>
              <w:rPr>
                <w:rFonts w:ascii="宋体" w:hAnsi="宋体" w:cs="宋体"/>
                <w:color w:val="auto"/>
                <w:sz w:val="24"/>
                <w:szCs w:val="24"/>
                <w:highlight w:val="none"/>
              </w:rPr>
            </w:pPr>
          </w:p>
          <w:p w14:paraId="761DD8BB">
            <w:pPr>
              <w:spacing w:line="360" w:lineRule="auto"/>
              <w:rPr>
                <w:rFonts w:ascii="宋体" w:hAnsi="宋体" w:cs="宋体"/>
                <w:color w:val="auto"/>
                <w:sz w:val="24"/>
                <w:szCs w:val="24"/>
                <w:highlight w:val="none"/>
              </w:rPr>
            </w:pPr>
          </w:p>
          <w:p w14:paraId="40B5D690">
            <w:pPr>
              <w:spacing w:line="360" w:lineRule="auto"/>
              <w:rPr>
                <w:rFonts w:ascii="宋体" w:hAnsi="宋体" w:cs="宋体"/>
                <w:color w:val="auto"/>
                <w:sz w:val="24"/>
                <w:szCs w:val="24"/>
                <w:highlight w:val="none"/>
              </w:rPr>
            </w:pPr>
          </w:p>
          <w:p w14:paraId="4684BE1E">
            <w:pPr>
              <w:spacing w:line="360" w:lineRule="auto"/>
              <w:rPr>
                <w:rFonts w:ascii="宋体" w:hAnsi="宋体" w:cs="宋体"/>
                <w:color w:val="auto"/>
                <w:sz w:val="24"/>
                <w:szCs w:val="24"/>
                <w:highlight w:val="none"/>
              </w:rPr>
            </w:pPr>
          </w:p>
          <w:p w14:paraId="43092738">
            <w:pPr>
              <w:spacing w:line="360" w:lineRule="auto"/>
              <w:rPr>
                <w:rFonts w:ascii="宋体" w:hAnsi="宋体" w:cs="宋体"/>
                <w:color w:val="auto"/>
                <w:sz w:val="24"/>
                <w:szCs w:val="24"/>
                <w:highlight w:val="none"/>
              </w:rPr>
            </w:pPr>
          </w:p>
        </w:tc>
      </w:tr>
      <w:tr w14:paraId="75D1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621466F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14:paraId="7595F717">
            <w:pPr>
              <w:spacing w:line="360" w:lineRule="auto"/>
              <w:jc w:val="center"/>
              <w:rPr>
                <w:rFonts w:ascii="宋体" w:hAnsi="宋体" w:cs="宋体"/>
                <w:color w:val="auto"/>
                <w:sz w:val="24"/>
                <w:szCs w:val="24"/>
                <w:highlight w:val="none"/>
              </w:rPr>
            </w:pPr>
          </w:p>
        </w:tc>
      </w:tr>
      <w:tr w14:paraId="0016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102940F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14:paraId="69262C2E">
            <w:pPr>
              <w:spacing w:line="360" w:lineRule="auto"/>
              <w:jc w:val="center"/>
              <w:rPr>
                <w:rFonts w:ascii="宋体" w:hAnsi="宋体" w:cs="宋体"/>
                <w:color w:val="auto"/>
                <w:sz w:val="24"/>
                <w:szCs w:val="24"/>
                <w:highlight w:val="none"/>
              </w:rPr>
            </w:pPr>
          </w:p>
        </w:tc>
      </w:tr>
      <w:tr w14:paraId="0A1F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14:paraId="4131D53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14:paraId="3B278F1B">
            <w:pPr>
              <w:spacing w:line="360" w:lineRule="auto"/>
              <w:jc w:val="center"/>
              <w:rPr>
                <w:rFonts w:ascii="宋体" w:hAnsi="宋体" w:cs="宋体"/>
                <w:color w:val="auto"/>
                <w:sz w:val="24"/>
                <w:szCs w:val="24"/>
                <w:highlight w:val="none"/>
              </w:rPr>
            </w:pPr>
          </w:p>
          <w:p w14:paraId="78492BC2">
            <w:pPr>
              <w:spacing w:line="360" w:lineRule="auto"/>
              <w:jc w:val="center"/>
              <w:rPr>
                <w:rFonts w:ascii="宋体" w:hAnsi="宋体" w:cs="宋体"/>
                <w:color w:val="auto"/>
                <w:sz w:val="24"/>
                <w:szCs w:val="24"/>
                <w:highlight w:val="none"/>
              </w:rPr>
            </w:pPr>
          </w:p>
          <w:p w14:paraId="7EE1CF5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14:paraId="2F2A578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14:paraId="0CD85197">
            <w:pPr>
              <w:spacing w:line="360" w:lineRule="auto"/>
              <w:jc w:val="center"/>
              <w:rPr>
                <w:rFonts w:ascii="宋体" w:hAnsi="宋体" w:cs="宋体"/>
                <w:color w:val="auto"/>
                <w:sz w:val="24"/>
                <w:szCs w:val="24"/>
                <w:highlight w:val="none"/>
              </w:rPr>
            </w:pPr>
          </w:p>
        </w:tc>
      </w:tr>
      <w:tr w14:paraId="0858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7A9D1AEE">
            <w:pPr>
              <w:spacing w:line="360" w:lineRule="auto"/>
              <w:jc w:val="center"/>
              <w:rPr>
                <w:rFonts w:ascii="宋体" w:hAnsi="宋体" w:cs="宋体"/>
                <w:color w:val="auto"/>
                <w:sz w:val="24"/>
                <w:szCs w:val="24"/>
                <w:highlight w:val="none"/>
              </w:rPr>
            </w:pPr>
          </w:p>
        </w:tc>
        <w:tc>
          <w:tcPr>
            <w:tcW w:w="1980" w:type="dxa"/>
            <w:noWrap/>
          </w:tcPr>
          <w:p w14:paraId="499F31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14:paraId="43ECFCE9">
            <w:pPr>
              <w:spacing w:line="360" w:lineRule="auto"/>
              <w:jc w:val="center"/>
              <w:rPr>
                <w:rFonts w:ascii="宋体" w:hAnsi="宋体" w:cs="宋体"/>
                <w:color w:val="auto"/>
                <w:sz w:val="24"/>
                <w:szCs w:val="24"/>
                <w:highlight w:val="none"/>
              </w:rPr>
            </w:pPr>
          </w:p>
        </w:tc>
      </w:tr>
      <w:tr w14:paraId="51C6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4FE00FC9">
            <w:pPr>
              <w:spacing w:line="360" w:lineRule="auto"/>
              <w:jc w:val="center"/>
              <w:rPr>
                <w:rFonts w:ascii="宋体" w:hAnsi="宋体" w:cs="宋体"/>
                <w:color w:val="auto"/>
                <w:sz w:val="24"/>
                <w:szCs w:val="24"/>
                <w:highlight w:val="none"/>
              </w:rPr>
            </w:pPr>
          </w:p>
        </w:tc>
        <w:tc>
          <w:tcPr>
            <w:tcW w:w="1980" w:type="dxa"/>
            <w:noWrap/>
          </w:tcPr>
          <w:p w14:paraId="490342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14:paraId="593878CF">
            <w:pPr>
              <w:spacing w:line="360" w:lineRule="auto"/>
              <w:jc w:val="center"/>
              <w:rPr>
                <w:rFonts w:ascii="宋体" w:hAnsi="宋体" w:cs="宋体"/>
                <w:color w:val="auto"/>
                <w:sz w:val="24"/>
                <w:szCs w:val="24"/>
                <w:highlight w:val="none"/>
              </w:rPr>
            </w:pPr>
          </w:p>
        </w:tc>
      </w:tr>
      <w:tr w14:paraId="3814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36295895">
            <w:pPr>
              <w:spacing w:line="360" w:lineRule="auto"/>
              <w:jc w:val="center"/>
              <w:rPr>
                <w:rFonts w:ascii="宋体" w:hAnsi="宋体" w:cs="宋体"/>
                <w:color w:val="auto"/>
                <w:sz w:val="24"/>
                <w:szCs w:val="24"/>
                <w:highlight w:val="none"/>
              </w:rPr>
            </w:pPr>
          </w:p>
        </w:tc>
        <w:tc>
          <w:tcPr>
            <w:tcW w:w="1980" w:type="dxa"/>
            <w:noWrap/>
          </w:tcPr>
          <w:p w14:paraId="27088EA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14:paraId="2850DFAC">
            <w:pPr>
              <w:spacing w:line="360" w:lineRule="auto"/>
              <w:jc w:val="center"/>
              <w:rPr>
                <w:rFonts w:ascii="宋体" w:hAnsi="宋体" w:cs="宋体"/>
                <w:color w:val="auto"/>
                <w:sz w:val="24"/>
                <w:szCs w:val="24"/>
                <w:highlight w:val="none"/>
              </w:rPr>
            </w:pPr>
          </w:p>
        </w:tc>
      </w:tr>
      <w:tr w14:paraId="42FF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14:paraId="22250119">
            <w:pPr>
              <w:spacing w:line="360" w:lineRule="auto"/>
              <w:jc w:val="center"/>
              <w:rPr>
                <w:rFonts w:ascii="宋体" w:hAnsi="宋体" w:cs="宋体"/>
                <w:color w:val="auto"/>
                <w:sz w:val="24"/>
                <w:szCs w:val="24"/>
                <w:highlight w:val="none"/>
              </w:rPr>
            </w:pPr>
          </w:p>
        </w:tc>
        <w:tc>
          <w:tcPr>
            <w:tcW w:w="1980" w:type="dxa"/>
            <w:noWrap/>
          </w:tcPr>
          <w:p w14:paraId="3D4C13A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14:paraId="703B8166">
            <w:pPr>
              <w:spacing w:line="360" w:lineRule="auto"/>
              <w:jc w:val="center"/>
              <w:rPr>
                <w:rFonts w:ascii="宋体" w:hAnsi="宋体" w:cs="宋体"/>
                <w:color w:val="auto"/>
                <w:sz w:val="24"/>
                <w:szCs w:val="24"/>
                <w:highlight w:val="none"/>
              </w:rPr>
            </w:pPr>
          </w:p>
        </w:tc>
      </w:tr>
    </w:tbl>
    <w:p w14:paraId="25265A1B">
      <w:pPr>
        <w:spacing w:line="360" w:lineRule="auto"/>
        <w:jc w:val="center"/>
        <w:rPr>
          <w:rFonts w:ascii="宋体" w:hAnsi="宋体" w:cs="宋体"/>
          <w:b/>
          <w:color w:val="auto"/>
          <w:sz w:val="24"/>
          <w:szCs w:val="24"/>
          <w:highlight w:val="none"/>
        </w:rPr>
      </w:pPr>
    </w:p>
    <w:p w14:paraId="4702D68D">
      <w:pPr>
        <w:spacing w:line="360" w:lineRule="auto"/>
        <w:rPr>
          <w:rFonts w:ascii="宋体" w:hAnsi="宋体" w:cs="宋体"/>
          <w:b/>
          <w:color w:val="auto"/>
          <w:sz w:val="24"/>
          <w:szCs w:val="24"/>
          <w:highlight w:val="none"/>
        </w:rPr>
      </w:pPr>
    </w:p>
    <w:p w14:paraId="3546A0F6">
      <w:pPr>
        <w:spacing w:line="360" w:lineRule="auto"/>
        <w:rPr>
          <w:rFonts w:ascii="宋体" w:hAnsi="宋体" w:cs="宋体"/>
          <w:b/>
          <w:color w:val="auto"/>
          <w:sz w:val="24"/>
          <w:szCs w:val="24"/>
          <w:highlight w:val="none"/>
        </w:rPr>
      </w:pPr>
    </w:p>
    <w:p w14:paraId="2E0ED23D">
      <w:pPr>
        <w:spacing w:line="360" w:lineRule="auto"/>
        <w:rPr>
          <w:rFonts w:ascii="宋体" w:hAnsi="宋体" w:cs="宋体"/>
          <w:b/>
          <w:color w:val="auto"/>
          <w:sz w:val="24"/>
          <w:szCs w:val="24"/>
          <w:highlight w:val="none"/>
        </w:rPr>
      </w:pPr>
    </w:p>
    <w:p w14:paraId="482E547B">
      <w:pPr>
        <w:spacing w:line="360" w:lineRule="auto"/>
        <w:rPr>
          <w:rFonts w:ascii="宋体" w:hAnsi="宋体" w:cs="宋体"/>
          <w:b/>
          <w:color w:val="auto"/>
          <w:sz w:val="24"/>
          <w:szCs w:val="24"/>
          <w:highlight w:val="none"/>
        </w:rPr>
      </w:pPr>
    </w:p>
    <w:p w14:paraId="3B1B85AB">
      <w:pPr>
        <w:spacing w:line="360" w:lineRule="auto"/>
        <w:rPr>
          <w:rFonts w:ascii="宋体" w:hAnsi="宋体" w:cs="宋体"/>
          <w:b/>
          <w:color w:val="auto"/>
          <w:sz w:val="24"/>
          <w:szCs w:val="24"/>
          <w:highlight w:val="none"/>
        </w:rPr>
      </w:pPr>
    </w:p>
    <w:p w14:paraId="0B442CA9">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企业目前正在监理的类似工程合同一览表</w:t>
      </w:r>
    </w:p>
    <w:p w14:paraId="11138D43">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3E39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4BFE104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14:paraId="5179702B">
            <w:pPr>
              <w:spacing w:line="360" w:lineRule="auto"/>
              <w:jc w:val="center"/>
              <w:rPr>
                <w:rFonts w:ascii="宋体" w:hAnsi="宋体" w:cs="宋体"/>
                <w:color w:val="auto"/>
                <w:sz w:val="24"/>
                <w:szCs w:val="24"/>
                <w:highlight w:val="none"/>
              </w:rPr>
            </w:pPr>
          </w:p>
        </w:tc>
      </w:tr>
      <w:tr w14:paraId="245B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1A8E9FE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14:paraId="287E574A">
            <w:pPr>
              <w:spacing w:line="360" w:lineRule="auto"/>
              <w:jc w:val="center"/>
              <w:rPr>
                <w:rFonts w:ascii="宋体" w:hAnsi="宋体" w:cs="宋体"/>
                <w:color w:val="auto"/>
                <w:sz w:val="24"/>
                <w:szCs w:val="24"/>
                <w:highlight w:val="none"/>
              </w:rPr>
            </w:pPr>
          </w:p>
        </w:tc>
      </w:tr>
      <w:tr w14:paraId="6DB2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41E7BBE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14:paraId="5DE460C8">
            <w:pPr>
              <w:spacing w:line="360" w:lineRule="auto"/>
              <w:jc w:val="center"/>
              <w:rPr>
                <w:rFonts w:ascii="宋体" w:hAnsi="宋体" w:cs="宋体"/>
                <w:color w:val="auto"/>
                <w:sz w:val="24"/>
                <w:szCs w:val="24"/>
                <w:highlight w:val="none"/>
              </w:rPr>
            </w:pPr>
          </w:p>
        </w:tc>
      </w:tr>
      <w:tr w14:paraId="0A56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59261B6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14:paraId="3A3DE063">
            <w:pPr>
              <w:spacing w:line="360" w:lineRule="auto"/>
              <w:jc w:val="center"/>
              <w:rPr>
                <w:rFonts w:ascii="宋体" w:hAnsi="宋体" w:cs="宋体"/>
                <w:color w:val="auto"/>
                <w:sz w:val="24"/>
                <w:szCs w:val="24"/>
                <w:highlight w:val="none"/>
              </w:rPr>
            </w:pPr>
          </w:p>
        </w:tc>
        <w:tc>
          <w:tcPr>
            <w:tcW w:w="1849" w:type="dxa"/>
            <w:noWrap/>
          </w:tcPr>
          <w:p w14:paraId="5C89FCE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14:paraId="620073CB">
            <w:pPr>
              <w:spacing w:line="360" w:lineRule="auto"/>
              <w:jc w:val="center"/>
              <w:rPr>
                <w:rFonts w:ascii="宋体" w:hAnsi="宋体" w:cs="宋体"/>
                <w:color w:val="auto"/>
                <w:sz w:val="24"/>
                <w:szCs w:val="24"/>
                <w:highlight w:val="none"/>
              </w:rPr>
            </w:pPr>
          </w:p>
        </w:tc>
      </w:tr>
      <w:tr w14:paraId="4552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575397B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2700" w:type="dxa"/>
            <w:noWrap/>
          </w:tcPr>
          <w:p w14:paraId="0FE1EB0A">
            <w:pPr>
              <w:spacing w:line="360" w:lineRule="auto"/>
              <w:jc w:val="center"/>
              <w:rPr>
                <w:rFonts w:ascii="宋体" w:hAnsi="宋体" w:cs="宋体"/>
                <w:color w:val="auto"/>
                <w:sz w:val="24"/>
                <w:szCs w:val="24"/>
                <w:highlight w:val="none"/>
              </w:rPr>
            </w:pPr>
          </w:p>
        </w:tc>
        <w:tc>
          <w:tcPr>
            <w:tcW w:w="1849" w:type="dxa"/>
            <w:noWrap/>
          </w:tcPr>
          <w:p w14:paraId="48972E9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预计完工时间</w:t>
            </w:r>
          </w:p>
        </w:tc>
        <w:tc>
          <w:tcPr>
            <w:tcW w:w="2011" w:type="dxa"/>
            <w:noWrap/>
          </w:tcPr>
          <w:p w14:paraId="07D65467">
            <w:pPr>
              <w:spacing w:line="360" w:lineRule="auto"/>
              <w:jc w:val="center"/>
              <w:rPr>
                <w:rFonts w:ascii="宋体" w:hAnsi="宋体" w:cs="宋体"/>
                <w:color w:val="auto"/>
                <w:sz w:val="24"/>
                <w:szCs w:val="24"/>
                <w:highlight w:val="none"/>
              </w:rPr>
            </w:pPr>
          </w:p>
        </w:tc>
      </w:tr>
      <w:tr w14:paraId="376C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85D095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项目总监理工程师</w:t>
            </w:r>
          </w:p>
        </w:tc>
        <w:tc>
          <w:tcPr>
            <w:tcW w:w="2700" w:type="dxa"/>
            <w:noWrap/>
          </w:tcPr>
          <w:p w14:paraId="507B73D7">
            <w:pPr>
              <w:spacing w:line="360" w:lineRule="auto"/>
              <w:jc w:val="center"/>
              <w:rPr>
                <w:rFonts w:ascii="宋体" w:hAnsi="宋体" w:cs="宋体"/>
                <w:color w:val="auto"/>
                <w:sz w:val="24"/>
                <w:szCs w:val="24"/>
                <w:highlight w:val="none"/>
              </w:rPr>
            </w:pPr>
          </w:p>
        </w:tc>
        <w:tc>
          <w:tcPr>
            <w:tcW w:w="1849" w:type="dxa"/>
            <w:noWrap/>
          </w:tcPr>
          <w:p w14:paraId="06AF8F5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14:paraId="4F32DAF1">
            <w:pPr>
              <w:spacing w:line="360" w:lineRule="auto"/>
              <w:jc w:val="center"/>
              <w:rPr>
                <w:rFonts w:ascii="宋体" w:hAnsi="宋体" w:cs="宋体"/>
                <w:color w:val="auto"/>
                <w:sz w:val="24"/>
                <w:szCs w:val="24"/>
                <w:highlight w:val="none"/>
              </w:rPr>
            </w:pPr>
          </w:p>
        </w:tc>
      </w:tr>
      <w:tr w14:paraId="2393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6A62D5A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6560" w:type="dxa"/>
            <w:gridSpan w:val="3"/>
            <w:noWrap/>
          </w:tcPr>
          <w:p w14:paraId="3704DE73">
            <w:pPr>
              <w:spacing w:line="360" w:lineRule="auto"/>
              <w:jc w:val="center"/>
              <w:rPr>
                <w:rFonts w:ascii="宋体" w:hAnsi="宋体" w:cs="宋体"/>
                <w:color w:val="auto"/>
                <w:sz w:val="24"/>
                <w:szCs w:val="24"/>
                <w:highlight w:val="none"/>
              </w:rPr>
            </w:pPr>
          </w:p>
        </w:tc>
      </w:tr>
      <w:tr w14:paraId="5B33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14:paraId="4D865A4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14:paraId="75EE01EF">
            <w:pPr>
              <w:spacing w:line="360" w:lineRule="auto"/>
              <w:rPr>
                <w:rFonts w:ascii="宋体" w:hAnsi="宋体" w:cs="宋体"/>
                <w:color w:val="auto"/>
                <w:sz w:val="24"/>
                <w:szCs w:val="24"/>
                <w:highlight w:val="none"/>
              </w:rPr>
            </w:pPr>
          </w:p>
          <w:p w14:paraId="5F07FB9C">
            <w:pPr>
              <w:spacing w:line="360" w:lineRule="auto"/>
              <w:rPr>
                <w:rFonts w:ascii="宋体" w:hAnsi="宋体" w:cs="宋体"/>
                <w:color w:val="auto"/>
                <w:sz w:val="24"/>
                <w:szCs w:val="24"/>
                <w:highlight w:val="none"/>
              </w:rPr>
            </w:pPr>
          </w:p>
          <w:p w14:paraId="44FE2F93">
            <w:pPr>
              <w:spacing w:line="360" w:lineRule="auto"/>
              <w:rPr>
                <w:rFonts w:ascii="宋体" w:hAnsi="宋体" w:cs="宋体"/>
                <w:color w:val="auto"/>
                <w:sz w:val="24"/>
                <w:szCs w:val="24"/>
                <w:highlight w:val="none"/>
              </w:rPr>
            </w:pPr>
          </w:p>
          <w:p w14:paraId="14EE179F">
            <w:pPr>
              <w:spacing w:line="360" w:lineRule="auto"/>
              <w:rPr>
                <w:rFonts w:ascii="宋体" w:hAnsi="宋体" w:cs="宋体"/>
                <w:color w:val="auto"/>
                <w:sz w:val="24"/>
                <w:szCs w:val="24"/>
                <w:highlight w:val="none"/>
              </w:rPr>
            </w:pPr>
          </w:p>
          <w:p w14:paraId="402A5CCF">
            <w:pPr>
              <w:spacing w:line="360" w:lineRule="auto"/>
              <w:rPr>
                <w:rFonts w:ascii="宋体" w:hAnsi="宋体" w:cs="宋体"/>
                <w:color w:val="auto"/>
                <w:sz w:val="24"/>
                <w:szCs w:val="24"/>
                <w:highlight w:val="none"/>
              </w:rPr>
            </w:pPr>
          </w:p>
        </w:tc>
      </w:tr>
      <w:tr w14:paraId="7F4C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741101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14:paraId="6FBAB9EF">
            <w:pPr>
              <w:spacing w:line="360" w:lineRule="auto"/>
              <w:jc w:val="center"/>
              <w:rPr>
                <w:rFonts w:ascii="宋体" w:hAnsi="宋体" w:cs="宋体"/>
                <w:color w:val="auto"/>
                <w:sz w:val="24"/>
                <w:szCs w:val="24"/>
                <w:highlight w:val="none"/>
              </w:rPr>
            </w:pPr>
          </w:p>
        </w:tc>
      </w:tr>
      <w:tr w14:paraId="6FBF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2B0787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14:paraId="62802BD8">
            <w:pPr>
              <w:spacing w:line="360" w:lineRule="auto"/>
              <w:jc w:val="center"/>
              <w:rPr>
                <w:rFonts w:ascii="宋体" w:hAnsi="宋体" w:cs="宋体"/>
                <w:color w:val="auto"/>
                <w:sz w:val="24"/>
                <w:szCs w:val="24"/>
                <w:highlight w:val="none"/>
              </w:rPr>
            </w:pPr>
          </w:p>
        </w:tc>
      </w:tr>
      <w:tr w14:paraId="2150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14:paraId="01A9DAD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14:paraId="57CAAB5F">
            <w:pPr>
              <w:spacing w:line="360" w:lineRule="auto"/>
              <w:jc w:val="center"/>
              <w:rPr>
                <w:rFonts w:ascii="宋体" w:hAnsi="宋体" w:cs="宋体"/>
                <w:color w:val="auto"/>
                <w:sz w:val="24"/>
                <w:szCs w:val="24"/>
                <w:highlight w:val="none"/>
              </w:rPr>
            </w:pPr>
          </w:p>
          <w:p w14:paraId="4DE2FEE2">
            <w:pPr>
              <w:spacing w:line="360" w:lineRule="auto"/>
              <w:jc w:val="center"/>
              <w:rPr>
                <w:rFonts w:ascii="宋体" w:hAnsi="宋体" w:cs="宋体"/>
                <w:color w:val="auto"/>
                <w:sz w:val="24"/>
                <w:szCs w:val="24"/>
                <w:highlight w:val="none"/>
              </w:rPr>
            </w:pPr>
          </w:p>
          <w:p w14:paraId="35BD962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14:paraId="1B74090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14:paraId="6BB9FC62">
            <w:pPr>
              <w:spacing w:line="360" w:lineRule="auto"/>
              <w:jc w:val="center"/>
              <w:rPr>
                <w:rFonts w:ascii="宋体" w:hAnsi="宋体" w:cs="宋体"/>
                <w:color w:val="auto"/>
                <w:sz w:val="24"/>
                <w:szCs w:val="24"/>
                <w:highlight w:val="none"/>
              </w:rPr>
            </w:pPr>
          </w:p>
        </w:tc>
      </w:tr>
      <w:tr w14:paraId="1FBA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3C2E0E07">
            <w:pPr>
              <w:spacing w:line="360" w:lineRule="auto"/>
              <w:jc w:val="center"/>
              <w:rPr>
                <w:rFonts w:ascii="宋体" w:hAnsi="宋体" w:cs="宋体"/>
                <w:color w:val="auto"/>
                <w:sz w:val="24"/>
                <w:szCs w:val="24"/>
                <w:highlight w:val="none"/>
              </w:rPr>
            </w:pPr>
          </w:p>
        </w:tc>
        <w:tc>
          <w:tcPr>
            <w:tcW w:w="1980" w:type="dxa"/>
            <w:noWrap/>
          </w:tcPr>
          <w:p w14:paraId="2327601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14:paraId="6A586F93">
            <w:pPr>
              <w:spacing w:line="360" w:lineRule="auto"/>
              <w:jc w:val="center"/>
              <w:rPr>
                <w:rFonts w:ascii="宋体" w:hAnsi="宋体" w:cs="宋体"/>
                <w:color w:val="auto"/>
                <w:sz w:val="24"/>
                <w:szCs w:val="24"/>
                <w:highlight w:val="none"/>
              </w:rPr>
            </w:pPr>
          </w:p>
        </w:tc>
      </w:tr>
      <w:tr w14:paraId="6701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1ABCE798">
            <w:pPr>
              <w:spacing w:line="360" w:lineRule="auto"/>
              <w:jc w:val="center"/>
              <w:rPr>
                <w:rFonts w:ascii="宋体" w:hAnsi="宋体" w:cs="宋体"/>
                <w:color w:val="auto"/>
                <w:sz w:val="24"/>
                <w:szCs w:val="24"/>
                <w:highlight w:val="none"/>
              </w:rPr>
            </w:pPr>
          </w:p>
        </w:tc>
        <w:tc>
          <w:tcPr>
            <w:tcW w:w="1980" w:type="dxa"/>
            <w:noWrap/>
          </w:tcPr>
          <w:p w14:paraId="0E5B2BB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14:paraId="6D7343B6">
            <w:pPr>
              <w:spacing w:line="360" w:lineRule="auto"/>
              <w:jc w:val="center"/>
              <w:rPr>
                <w:rFonts w:ascii="宋体" w:hAnsi="宋体" w:cs="宋体"/>
                <w:color w:val="auto"/>
                <w:sz w:val="24"/>
                <w:szCs w:val="24"/>
                <w:highlight w:val="none"/>
              </w:rPr>
            </w:pPr>
          </w:p>
        </w:tc>
      </w:tr>
      <w:tr w14:paraId="51C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055AF050">
            <w:pPr>
              <w:spacing w:line="360" w:lineRule="auto"/>
              <w:jc w:val="center"/>
              <w:rPr>
                <w:rFonts w:ascii="宋体" w:hAnsi="宋体" w:cs="宋体"/>
                <w:color w:val="auto"/>
                <w:sz w:val="24"/>
                <w:szCs w:val="24"/>
                <w:highlight w:val="none"/>
              </w:rPr>
            </w:pPr>
          </w:p>
        </w:tc>
        <w:tc>
          <w:tcPr>
            <w:tcW w:w="1980" w:type="dxa"/>
            <w:noWrap/>
          </w:tcPr>
          <w:p w14:paraId="01AF11C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14:paraId="6E5E3849">
            <w:pPr>
              <w:spacing w:line="360" w:lineRule="auto"/>
              <w:jc w:val="center"/>
              <w:rPr>
                <w:rFonts w:ascii="宋体" w:hAnsi="宋体" w:cs="宋体"/>
                <w:color w:val="auto"/>
                <w:sz w:val="24"/>
                <w:szCs w:val="24"/>
                <w:highlight w:val="none"/>
              </w:rPr>
            </w:pPr>
          </w:p>
        </w:tc>
      </w:tr>
      <w:tr w14:paraId="3A85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14:paraId="2A54CC4D">
            <w:pPr>
              <w:spacing w:line="360" w:lineRule="auto"/>
              <w:jc w:val="center"/>
              <w:rPr>
                <w:rFonts w:ascii="宋体" w:hAnsi="宋体" w:cs="宋体"/>
                <w:color w:val="auto"/>
                <w:sz w:val="24"/>
                <w:szCs w:val="24"/>
                <w:highlight w:val="none"/>
              </w:rPr>
            </w:pPr>
          </w:p>
        </w:tc>
        <w:tc>
          <w:tcPr>
            <w:tcW w:w="1980" w:type="dxa"/>
            <w:noWrap/>
          </w:tcPr>
          <w:p w14:paraId="48B8DB9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14:paraId="2D37F833">
            <w:pPr>
              <w:spacing w:line="360" w:lineRule="auto"/>
              <w:jc w:val="center"/>
              <w:rPr>
                <w:rFonts w:ascii="宋体" w:hAnsi="宋体" w:cs="宋体"/>
                <w:color w:val="auto"/>
                <w:sz w:val="24"/>
                <w:szCs w:val="24"/>
                <w:highlight w:val="none"/>
              </w:rPr>
            </w:pPr>
          </w:p>
        </w:tc>
      </w:tr>
    </w:tbl>
    <w:p w14:paraId="5B3402C1">
      <w:pPr>
        <w:spacing w:line="360" w:lineRule="auto"/>
        <w:jc w:val="center"/>
        <w:rPr>
          <w:rFonts w:ascii="宋体" w:hAnsi="宋体" w:cs="宋体"/>
          <w:b/>
          <w:color w:val="auto"/>
          <w:sz w:val="24"/>
          <w:szCs w:val="24"/>
          <w:highlight w:val="none"/>
        </w:rPr>
      </w:pPr>
    </w:p>
    <w:p w14:paraId="4C69E2A4">
      <w:pPr>
        <w:spacing w:line="360" w:lineRule="auto"/>
        <w:rPr>
          <w:rFonts w:ascii="宋体" w:hAnsi="宋体" w:cs="宋体"/>
          <w:bCs/>
          <w:color w:val="auto"/>
          <w:sz w:val="24"/>
          <w:szCs w:val="24"/>
          <w:highlight w:val="none"/>
        </w:rPr>
      </w:pPr>
    </w:p>
    <w:p w14:paraId="1059E2FF">
      <w:pPr>
        <w:spacing w:line="360" w:lineRule="auto"/>
        <w:jc w:val="right"/>
        <w:rPr>
          <w:rFonts w:ascii="宋体" w:hAnsi="宋体" w:cs="宋体"/>
          <w:color w:val="auto"/>
          <w:sz w:val="24"/>
          <w:szCs w:val="24"/>
          <w:highlight w:val="none"/>
        </w:rPr>
      </w:pPr>
      <w:r>
        <w:rPr>
          <w:rFonts w:hint="eastAsia" w:ascii="宋体" w:hAnsi="宋体" w:cs="宋体"/>
          <w:bCs/>
          <w:color w:val="auto"/>
          <w:sz w:val="24"/>
          <w:szCs w:val="24"/>
          <w:highlight w:val="none"/>
        </w:rPr>
        <w:br w:type="page"/>
      </w:r>
    </w:p>
    <w:p w14:paraId="2402C56F">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派驻此次招标工程监理人员汇总表</w:t>
      </w:r>
    </w:p>
    <w:p w14:paraId="5B8FA0EF">
      <w:pPr>
        <w:spacing w:line="360" w:lineRule="auto"/>
        <w:ind w:firstLine="705" w:firstLineChars="294"/>
        <w:rPr>
          <w:rFonts w:ascii="宋体" w:hAnsi="宋体" w:cs="宋体"/>
          <w:b/>
          <w:color w:val="auto"/>
          <w:sz w:val="24"/>
          <w:szCs w:val="24"/>
          <w:highlight w:val="none"/>
        </w:rPr>
      </w:pPr>
      <w:r>
        <w:rPr>
          <w:rFonts w:hint="eastAsia" w:ascii="宋体" w:hAnsi="宋体" w:cs="宋体"/>
          <w:b/>
          <w:color w:val="auto"/>
          <w:sz w:val="24"/>
          <w:szCs w:val="24"/>
          <w:highlight w:val="none"/>
        </w:rPr>
        <w:t>工程名称：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51"/>
        <w:gridCol w:w="569"/>
        <w:gridCol w:w="540"/>
        <w:gridCol w:w="900"/>
        <w:gridCol w:w="720"/>
        <w:gridCol w:w="1440"/>
        <w:gridCol w:w="1392"/>
      </w:tblGrid>
      <w:tr w14:paraId="6998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12" w:space="0"/>
              <w:left w:val="single" w:color="auto" w:sz="12" w:space="0"/>
              <w:bottom w:val="single" w:color="auto" w:sz="12" w:space="0"/>
            </w:tcBorders>
            <w:noWrap/>
            <w:vAlign w:val="center"/>
          </w:tcPr>
          <w:p w14:paraId="4432CFF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951" w:type="dxa"/>
            <w:tcBorders>
              <w:top w:val="single" w:color="auto" w:sz="12" w:space="0"/>
              <w:bottom w:val="single" w:color="auto" w:sz="12" w:space="0"/>
            </w:tcBorders>
            <w:noWrap/>
            <w:vAlign w:val="center"/>
          </w:tcPr>
          <w:p w14:paraId="1317BD0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本工程拟任岗位</w:t>
            </w:r>
          </w:p>
        </w:tc>
        <w:tc>
          <w:tcPr>
            <w:tcW w:w="569" w:type="dxa"/>
            <w:tcBorders>
              <w:top w:val="single" w:color="auto" w:sz="12" w:space="0"/>
              <w:bottom w:val="single" w:color="auto" w:sz="12" w:space="0"/>
            </w:tcBorders>
            <w:noWrap/>
            <w:vAlign w:val="center"/>
          </w:tcPr>
          <w:p w14:paraId="224536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540" w:type="dxa"/>
            <w:tcBorders>
              <w:top w:val="single" w:color="auto" w:sz="12" w:space="0"/>
              <w:bottom w:val="single" w:color="auto" w:sz="12" w:space="0"/>
            </w:tcBorders>
            <w:noWrap/>
            <w:vAlign w:val="center"/>
          </w:tcPr>
          <w:p w14:paraId="05A57D2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900" w:type="dxa"/>
            <w:tcBorders>
              <w:top w:val="single" w:color="auto" w:sz="12" w:space="0"/>
              <w:bottom w:val="single" w:color="auto" w:sz="12" w:space="0"/>
            </w:tcBorders>
            <w:noWrap/>
            <w:vAlign w:val="center"/>
          </w:tcPr>
          <w:p w14:paraId="0DD363A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专 业</w:t>
            </w:r>
          </w:p>
        </w:tc>
        <w:tc>
          <w:tcPr>
            <w:tcW w:w="720" w:type="dxa"/>
            <w:tcBorders>
              <w:top w:val="single" w:color="auto" w:sz="12" w:space="0"/>
              <w:bottom w:val="single" w:color="auto" w:sz="12" w:space="0"/>
            </w:tcBorders>
            <w:noWrap/>
            <w:vAlign w:val="center"/>
          </w:tcPr>
          <w:p w14:paraId="2E57396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专业年限</w:t>
            </w:r>
          </w:p>
        </w:tc>
        <w:tc>
          <w:tcPr>
            <w:tcW w:w="1440" w:type="dxa"/>
            <w:tcBorders>
              <w:top w:val="single" w:color="auto" w:sz="12" w:space="0"/>
              <w:bottom w:val="single" w:color="auto" w:sz="12" w:space="0"/>
            </w:tcBorders>
            <w:noWrap/>
            <w:vAlign w:val="center"/>
          </w:tcPr>
          <w:p w14:paraId="773908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392" w:type="dxa"/>
            <w:tcBorders>
              <w:top w:val="single" w:color="auto" w:sz="12" w:space="0"/>
              <w:bottom w:val="single" w:color="auto" w:sz="12" w:space="0"/>
              <w:right w:val="single" w:color="auto" w:sz="12" w:space="0"/>
            </w:tcBorders>
            <w:noWrap/>
            <w:vAlign w:val="center"/>
          </w:tcPr>
          <w:p w14:paraId="7EF2801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安排上岗 起止时间</w:t>
            </w:r>
          </w:p>
        </w:tc>
      </w:tr>
      <w:tr w14:paraId="72E0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12" w:space="0"/>
              <w:left w:val="single" w:color="auto" w:sz="12" w:space="0"/>
            </w:tcBorders>
            <w:noWrap/>
            <w:vAlign w:val="center"/>
          </w:tcPr>
          <w:p w14:paraId="4A98E446">
            <w:pPr>
              <w:spacing w:line="360" w:lineRule="auto"/>
              <w:rPr>
                <w:rFonts w:ascii="宋体" w:hAnsi="宋体" w:cs="宋体"/>
                <w:color w:val="auto"/>
                <w:sz w:val="24"/>
                <w:szCs w:val="24"/>
                <w:highlight w:val="none"/>
              </w:rPr>
            </w:pPr>
          </w:p>
        </w:tc>
        <w:tc>
          <w:tcPr>
            <w:tcW w:w="1951" w:type="dxa"/>
            <w:tcBorders>
              <w:top w:val="single" w:color="auto" w:sz="12" w:space="0"/>
            </w:tcBorders>
            <w:noWrap/>
            <w:vAlign w:val="center"/>
          </w:tcPr>
          <w:p w14:paraId="61C16EAF">
            <w:pPr>
              <w:spacing w:line="360" w:lineRule="auto"/>
              <w:rPr>
                <w:rFonts w:ascii="宋体" w:hAnsi="宋体" w:cs="宋体"/>
                <w:color w:val="auto"/>
                <w:sz w:val="24"/>
                <w:szCs w:val="24"/>
                <w:highlight w:val="none"/>
              </w:rPr>
            </w:pPr>
          </w:p>
        </w:tc>
        <w:tc>
          <w:tcPr>
            <w:tcW w:w="569" w:type="dxa"/>
            <w:tcBorders>
              <w:top w:val="single" w:color="auto" w:sz="12" w:space="0"/>
            </w:tcBorders>
            <w:noWrap/>
            <w:vAlign w:val="center"/>
          </w:tcPr>
          <w:p w14:paraId="630C9203">
            <w:pPr>
              <w:spacing w:line="360" w:lineRule="auto"/>
              <w:rPr>
                <w:rFonts w:ascii="宋体" w:hAnsi="宋体" w:cs="宋体"/>
                <w:color w:val="auto"/>
                <w:sz w:val="24"/>
                <w:szCs w:val="24"/>
                <w:highlight w:val="none"/>
              </w:rPr>
            </w:pPr>
          </w:p>
        </w:tc>
        <w:tc>
          <w:tcPr>
            <w:tcW w:w="540" w:type="dxa"/>
            <w:tcBorders>
              <w:top w:val="single" w:color="auto" w:sz="12" w:space="0"/>
            </w:tcBorders>
            <w:noWrap/>
            <w:vAlign w:val="center"/>
          </w:tcPr>
          <w:p w14:paraId="04DB0918">
            <w:pPr>
              <w:spacing w:line="360" w:lineRule="auto"/>
              <w:rPr>
                <w:rFonts w:ascii="宋体" w:hAnsi="宋体" w:cs="宋体"/>
                <w:color w:val="auto"/>
                <w:sz w:val="24"/>
                <w:szCs w:val="24"/>
                <w:highlight w:val="none"/>
              </w:rPr>
            </w:pPr>
          </w:p>
        </w:tc>
        <w:tc>
          <w:tcPr>
            <w:tcW w:w="900" w:type="dxa"/>
            <w:tcBorders>
              <w:top w:val="single" w:color="auto" w:sz="12" w:space="0"/>
            </w:tcBorders>
            <w:noWrap/>
            <w:vAlign w:val="center"/>
          </w:tcPr>
          <w:p w14:paraId="126120D0">
            <w:pPr>
              <w:spacing w:line="360" w:lineRule="auto"/>
              <w:rPr>
                <w:rFonts w:ascii="宋体" w:hAnsi="宋体" w:cs="宋体"/>
                <w:color w:val="auto"/>
                <w:sz w:val="24"/>
                <w:szCs w:val="24"/>
                <w:highlight w:val="none"/>
              </w:rPr>
            </w:pPr>
          </w:p>
        </w:tc>
        <w:tc>
          <w:tcPr>
            <w:tcW w:w="720" w:type="dxa"/>
            <w:tcBorders>
              <w:top w:val="single" w:color="auto" w:sz="12" w:space="0"/>
            </w:tcBorders>
            <w:noWrap/>
            <w:vAlign w:val="center"/>
          </w:tcPr>
          <w:p w14:paraId="37344EF7">
            <w:pPr>
              <w:spacing w:line="360" w:lineRule="auto"/>
              <w:rPr>
                <w:rFonts w:ascii="宋体" w:hAnsi="宋体" w:cs="宋体"/>
                <w:color w:val="auto"/>
                <w:sz w:val="24"/>
                <w:szCs w:val="24"/>
                <w:highlight w:val="none"/>
              </w:rPr>
            </w:pPr>
          </w:p>
        </w:tc>
        <w:tc>
          <w:tcPr>
            <w:tcW w:w="1440" w:type="dxa"/>
            <w:tcBorders>
              <w:top w:val="single" w:color="auto" w:sz="12" w:space="0"/>
            </w:tcBorders>
            <w:noWrap/>
            <w:vAlign w:val="center"/>
          </w:tcPr>
          <w:p w14:paraId="72C4DA83">
            <w:pPr>
              <w:pStyle w:val="13"/>
              <w:spacing w:line="360" w:lineRule="auto"/>
              <w:rPr>
                <w:rFonts w:ascii="宋体" w:hAnsi="宋体" w:cs="宋体"/>
                <w:color w:val="auto"/>
                <w:szCs w:val="24"/>
                <w:highlight w:val="none"/>
              </w:rPr>
            </w:pPr>
          </w:p>
        </w:tc>
        <w:tc>
          <w:tcPr>
            <w:tcW w:w="1392" w:type="dxa"/>
            <w:tcBorders>
              <w:top w:val="single" w:color="auto" w:sz="12" w:space="0"/>
              <w:right w:val="single" w:color="auto" w:sz="12" w:space="0"/>
            </w:tcBorders>
            <w:noWrap/>
            <w:vAlign w:val="center"/>
          </w:tcPr>
          <w:p w14:paraId="73441DBC">
            <w:pPr>
              <w:spacing w:line="360" w:lineRule="auto"/>
              <w:rPr>
                <w:rFonts w:ascii="宋体" w:hAnsi="宋体" w:cs="宋体"/>
                <w:color w:val="auto"/>
                <w:sz w:val="24"/>
                <w:szCs w:val="24"/>
                <w:highlight w:val="none"/>
              </w:rPr>
            </w:pPr>
          </w:p>
        </w:tc>
      </w:tr>
      <w:tr w14:paraId="4492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02CD26AC">
            <w:pPr>
              <w:spacing w:line="360" w:lineRule="auto"/>
              <w:rPr>
                <w:rFonts w:ascii="宋体" w:hAnsi="宋体" w:cs="宋体"/>
                <w:color w:val="auto"/>
                <w:sz w:val="24"/>
                <w:szCs w:val="24"/>
                <w:highlight w:val="none"/>
              </w:rPr>
            </w:pPr>
          </w:p>
        </w:tc>
        <w:tc>
          <w:tcPr>
            <w:tcW w:w="1951" w:type="dxa"/>
            <w:noWrap/>
            <w:vAlign w:val="center"/>
          </w:tcPr>
          <w:p w14:paraId="35C0CADC">
            <w:pPr>
              <w:spacing w:line="360" w:lineRule="auto"/>
              <w:rPr>
                <w:rFonts w:ascii="宋体" w:hAnsi="宋体" w:cs="宋体"/>
                <w:color w:val="auto"/>
                <w:sz w:val="24"/>
                <w:szCs w:val="24"/>
                <w:highlight w:val="none"/>
              </w:rPr>
            </w:pPr>
          </w:p>
        </w:tc>
        <w:tc>
          <w:tcPr>
            <w:tcW w:w="569" w:type="dxa"/>
            <w:noWrap/>
            <w:vAlign w:val="center"/>
          </w:tcPr>
          <w:p w14:paraId="1F81E029">
            <w:pPr>
              <w:spacing w:line="360" w:lineRule="auto"/>
              <w:rPr>
                <w:rFonts w:ascii="宋体" w:hAnsi="宋体" w:cs="宋体"/>
                <w:color w:val="auto"/>
                <w:sz w:val="24"/>
                <w:szCs w:val="24"/>
                <w:highlight w:val="none"/>
              </w:rPr>
            </w:pPr>
          </w:p>
        </w:tc>
        <w:tc>
          <w:tcPr>
            <w:tcW w:w="540" w:type="dxa"/>
            <w:noWrap/>
            <w:vAlign w:val="center"/>
          </w:tcPr>
          <w:p w14:paraId="3DA36C9E">
            <w:pPr>
              <w:spacing w:line="360" w:lineRule="auto"/>
              <w:rPr>
                <w:rFonts w:ascii="宋体" w:hAnsi="宋体" w:cs="宋体"/>
                <w:color w:val="auto"/>
                <w:sz w:val="24"/>
                <w:szCs w:val="24"/>
                <w:highlight w:val="none"/>
              </w:rPr>
            </w:pPr>
          </w:p>
        </w:tc>
        <w:tc>
          <w:tcPr>
            <w:tcW w:w="900" w:type="dxa"/>
            <w:noWrap/>
            <w:vAlign w:val="center"/>
          </w:tcPr>
          <w:p w14:paraId="0576687C">
            <w:pPr>
              <w:spacing w:line="360" w:lineRule="auto"/>
              <w:rPr>
                <w:rFonts w:ascii="宋体" w:hAnsi="宋体" w:cs="宋体"/>
                <w:color w:val="auto"/>
                <w:sz w:val="24"/>
                <w:szCs w:val="24"/>
                <w:highlight w:val="none"/>
              </w:rPr>
            </w:pPr>
          </w:p>
        </w:tc>
        <w:tc>
          <w:tcPr>
            <w:tcW w:w="720" w:type="dxa"/>
            <w:noWrap/>
            <w:vAlign w:val="center"/>
          </w:tcPr>
          <w:p w14:paraId="35B99CE3">
            <w:pPr>
              <w:spacing w:line="360" w:lineRule="auto"/>
              <w:rPr>
                <w:rFonts w:ascii="宋体" w:hAnsi="宋体" w:cs="宋体"/>
                <w:color w:val="auto"/>
                <w:sz w:val="24"/>
                <w:szCs w:val="24"/>
                <w:highlight w:val="none"/>
              </w:rPr>
            </w:pPr>
          </w:p>
        </w:tc>
        <w:tc>
          <w:tcPr>
            <w:tcW w:w="1440" w:type="dxa"/>
            <w:noWrap/>
            <w:vAlign w:val="center"/>
          </w:tcPr>
          <w:p w14:paraId="1ABF7836">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49039446">
            <w:pPr>
              <w:pStyle w:val="13"/>
              <w:spacing w:line="360" w:lineRule="auto"/>
              <w:rPr>
                <w:rFonts w:ascii="宋体" w:hAnsi="宋体" w:cs="宋体"/>
                <w:color w:val="auto"/>
                <w:szCs w:val="24"/>
                <w:highlight w:val="none"/>
              </w:rPr>
            </w:pPr>
          </w:p>
        </w:tc>
      </w:tr>
      <w:tr w14:paraId="7DE5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7C8B6161">
            <w:pPr>
              <w:spacing w:line="360" w:lineRule="auto"/>
              <w:rPr>
                <w:rFonts w:ascii="宋体" w:hAnsi="宋体" w:cs="宋体"/>
                <w:color w:val="auto"/>
                <w:sz w:val="24"/>
                <w:szCs w:val="24"/>
                <w:highlight w:val="none"/>
              </w:rPr>
            </w:pPr>
          </w:p>
        </w:tc>
        <w:tc>
          <w:tcPr>
            <w:tcW w:w="1951" w:type="dxa"/>
            <w:noWrap/>
            <w:vAlign w:val="center"/>
          </w:tcPr>
          <w:p w14:paraId="42950E16">
            <w:pPr>
              <w:spacing w:line="360" w:lineRule="auto"/>
              <w:rPr>
                <w:rFonts w:ascii="宋体" w:hAnsi="宋体" w:cs="宋体"/>
                <w:color w:val="auto"/>
                <w:sz w:val="24"/>
                <w:szCs w:val="24"/>
                <w:highlight w:val="none"/>
              </w:rPr>
            </w:pPr>
          </w:p>
        </w:tc>
        <w:tc>
          <w:tcPr>
            <w:tcW w:w="569" w:type="dxa"/>
            <w:noWrap/>
            <w:vAlign w:val="center"/>
          </w:tcPr>
          <w:p w14:paraId="14D5DE5D">
            <w:pPr>
              <w:spacing w:line="360" w:lineRule="auto"/>
              <w:rPr>
                <w:rFonts w:ascii="宋体" w:hAnsi="宋体" w:cs="宋体"/>
                <w:color w:val="auto"/>
                <w:sz w:val="24"/>
                <w:szCs w:val="24"/>
                <w:highlight w:val="none"/>
              </w:rPr>
            </w:pPr>
          </w:p>
        </w:tc>
        <w:tc>
          <w:tcPr>
            <w:tcW w:w="540" w:type="dxa"/>
            <w:noWrap/>
            <w:vAlign w:val="center"/>
          </w:tcPr>
          <w:p w14:paraId="1FFCBD30">
            <w:pPr>
              <w:spacing w:line="360" w:lineRule="auto"/>
              <w:rPr>
                <w:rFonts w:ascii="宋体" w:hAnsi="宋体" w:cs="宋体"/>
                <w:color w:val="auto"/>
                <w:sz w:val="24"/>
                <w:szCs w:val="24"/>
                <w:highlight w:val="none"/>
              </w:rPr>
            </w:pPr>
          </w:p>
        </w:tc>
        <w:tc>
          <w:tcPr>
            <w:tcW w:w="900" w:type="dxa"/>
            <w:noWrap/>
            <w:vAlign w:val="center"/>
          </w:tcPr>
          <w:p w14:paraId="63801F6B">
            <w:pPr>
              <w:spacing w:line="360" w:lineRule="auto"/>
              <w:rPr>
                <w:rFonts w:ascii="宋体" w:hAnsi="宋体" w:cs="宋体"/>
                <w:color w:val="auto"/>
                <w:sz w:val="24"/>
                <w:szCs w:val="24"/>
                <w:highlight w:val="none"/>
              </w:rPr>
            </w:pPr>
          </w:p>
        </w:tc>
        <w:tc>
          <w:tcPr>
            <w:tcW w:w="720" w:type="dxa"/>
            <w:noWrap/>
            <w:vAlign w:val="center"/>
          </w:tcPr>
          <w:p w14:paraId="45891E65">
            <w:pPr>
              <w:spacing w:line="360" w:lineRule="auto"/>
              <w:rPr>
                <w:rFonts w:ascii="宋体" w:hAnsi="宋体" w:cs="宋体"/>
                <w:color w:val="auto"/>
                <w:sz w:val="24"/>
                <w:szCs w:val="24"/>
                <w:highlight w:val="none"/>
              </w:rPr>
            </w:pPr>
          </w:p>
        </w:tc>
        <w:tc>
          <w:tcPr>
            <w:tcW w:w="1440" w:type="dxa"/>
            <w:noWrap/>
            <w:vAlign w:val="center"/>
          </w:tcPr>
          <w:p w14:paraId="154957E7">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5B3D7EB0">
            <w:pPr>
              <w:spacing w:line="360" w:lineRule="auto"/>
              <w:rPr>
                <w:rFonts w:ascii="宋体" w:hAnsi="宋体" w:cs="宋体"/>
                <w:color w:val="auto"/>
                <w:sz w:val="24"/>
                <w:szCs w:val="24"/>
                <w:highlight w:val="none"/>
              </w:rPr>
            </w:pPr>
          </w:p>
        </w:tc>
      </w:tr>
      <w:tr w14:paraId="3781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5F7B004D">
            <w:pPr>
              <w:spacing w:line="360" w:lineRule="auto"/>
              <w:rPr>
                <w:rFonts w:ascii="宋体" w:hAnsi="宋体" w:cs="宋体"/>
                <w:color w:val="auto"/>
                <w:sz w:val="24"/>
                <w:szCs w:val="24"/>
                <w:highlight w:val="none"/>
              </w:rPr>
            </w:pPr>
          </w:p>
        </w:tc>
        <w:tc>
          <w:tcPr>
            <w:tcW w:w="1951" w:type="dxa"/>
            <w:noWrap/>
            <w:vAlign w:val="center"/>
          </w:tcPr>
          <w:p w14:paraId="796B6359">
            <w:pPr>
              <w:spacing w:line="360" w:lineRule="auto"/>
              <w:rPr>
                <w:rFonts w:ascii="宋体" w:hAnsi="宋体" w:cs="宋体"/>
                <w:color w:val="auto"/>
                <w:sz w:val="24"/>
                <w:szCs w:val="24"/>
                <w:highlight w:val="none"/>
              </w:rPr>
            </w:pPr>
          </w:p>
        </w:tc>
        <w:tc>
          <w:tcPr>
            <w:tcW w:w="569" w:type="dxa"/>
            <w:noWrap/>
            <w:vAlign w:val="center"/>
          </w:tcPr>
          <w:p w14:paraId="3EF5F290">
            <w:pPr>
              <w:spacing w:line="360" w:lineRule="auto"/>
              <w:rPr>
                <w:rFonts w:ascii="宋体" w:hAnsi="宋体" w:cs="宋体"/>
                <w:color w:val="auto"/>
                <w:sz w:val="24"/>
                <w:szCs w:val="24"/>
                <w:highlight w:val="none"/>
              </w:rPr>
            </w:pPr>
          </w:p>
        </w:tc>
        <w:tc>
          <w:tcPr>
            <w:tcW w:w="540" w:type="dxa"/>
            <w:noWrap/>
            <w:vAlign w:val="center"/>
          </w:tcPr>
          <w:p w14:paraId="0E228012">
            <w:pPr>
              <w:spacing w:line="360" w:lineRule="auto"/>
              <w:rPr>
                <w:rFonts w:ascii="宋体" w:hAnsi="宋体" w:cs="宋体"/>
                <w:color w:val="auto"/>
                <w:sz w:val="24"/>
                <w:szCs w:val="24"/>
                <w:highlight w:val="none"/>
              </w:rPr>
            </w:pPr>
          </w:p>
        </w:tc>
        <w:tc>
          <w:tcPr>
            <w:tcW w:w="900" w:type="dxa"/>
            <w:noWrap/>
            <w:vAlign w:val="center"/>
          </w:tcPr>
          <w:p w14:paraId="47AD6356">
            <w:pPr>
              <w:spacing w:line="360" w:lineRule="auto"/>
              <w:rPr>
                <w:rFonts w:ascii="宋体" w:hAnsi="宋体" w:cs="宋体"/>
                <w:color w:val="auto"/>
                <w:sz w:val="24"/>
                <w:szCs w:val="24"/>
                <w:highlight w:val="none"/>
              </w:rPr>
            </w:pPr>
          </w:p>
        </w:tc>
        <w:tc>
          <w:tcPr>
            <w:tcW w:w="720" w:type="dxa"/>
            <w:noWrap/>
            <w:vAlign w:val="center"/>
          </w:tcPr>
          <w:p w14:paraId="5E76B265">
            <w:pPr>
              <w:spacing w:line="360" w:lineRule="auto"/>
              <w:rPr>
                <w:rFonts w:ascii="宋体" w:hAnsi="宋体" w:cs="宋体"/>
                <w:color w:val="auto"/>
                <w:sz w:val="24"/>
                <w:szCs w:val="24"/>
                <w:highlight w:val="none"/>
              </w:rPr>
            </w:pPr>
          </w:p>
        </w:tc>
        <w:tc>
          <w:tcPr>
            <w:tcW w:w="1440" w:type="dxa"/>
            <w:noWrap/>
            <w:vAlign w:val="center"/>
          </w:tcPr>
          <w:p w14:paraId="29CD3504">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66951423">
            <w:pPr>
              <w:spacing w:line="360" w:lineRule="auto"/>
              <w:rPr>
                <w:rFonts w:ascii="宋体" w:hAnsi="宋体" w:cs="宋体"/>
                <w:color w:val="auto"/>
                <w:sz w:val="24"/>
                <w:szCs w:val="24"/>
                <w:highlight w:val="none"/>
              </w:rPr>
            </w:pPr>
          </w:p>
        </w:tc>
      </w:tr>
      <w:tr w14:paraId="1235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2EEAB01E">
            <w:pPr>
              <w:spacing w:line="360" w:lineRule="auto"/>
              <w:rPr>
                <w:rFonts w:ascii="宋体" w:hAnsi="宋体" w:cs="宋体"/>
                <w:color w:val="auto"/>
                <w:sz w:val="24"/>
                <w:szCs w:val="24"/>
                <w:highlight w:val="none"/>
              </w:rPr>
            </w:pPr>
          </w:p>
        </w:tc>
        <w:tc>
          <w:tcPr>
            <w:tcW w:w="1951" w:type="dxa"/>
            <w:noWrap/>
            <w:vAlign w:val="center"/>
          </w:tcPr>
          <w:p w14:paraId="27CCAC9A">
            <w:pPr>
              <w:spacing w:line="360" w:lineRule="auto"/>
              <w:rPr>
                <w:rFonts w:ascii="宋体" w:hAnsi="宋体" w:cs="宋体"/>
                <w:color w:val="auto"/>
                <w:sz w:val="24"/>
                <w:szCs w:val="24"/>
                <w:highlight w:val="none"/>
              </w:rPr>
            </w:pPr>
          </w:p>
        </w:tc>
        <w:tc>
          <w:tcPr>
            <w:tcW w:w="569" w:type="dxa"/>
            <w:noWrap/>
            <w:vAlign w:val="center"/>
          </w:tcPr>
          <w:p w14:paraId="4A2905EF">
            <w:pPr>
              <w:spacing w:line="360" w:lineRule="auto"/>
              <w:rPr>
                <w:rFonts w:ascii="宋体" w:hAnsi="宋体" w:cs="宋体"/>
                <w:color w:val="auto"/>
                <w:sz w:val="24"/>
                <w:szCs w:val="24"/>
                <w:highlight w:val="none"/>
              </w:rPr>
            </w:pPr>
          </w:p>
        </w:tc>
        <w:tc>
          <w:tcPr>
            <w:tcW w:w="540" w:type="dxa"/>
            <w:noWrap/>
            <w:vAlign w:val="center"/>
          </w:tcPr>
          <w:p w14:paraId="7E81CC34">
            <w:pPr>
              <w:spacing w:line="360" w:lineRule="auto"/>
              <w:rPr>
                <w:rFonts w:ascii="宋体" w:hAnsi="宋体" w:cs="宋体"/>
                <w:color w:val="auto"/>
                <w:sz w:val="24"/>
                <w:szCs w:val="24"/>
                <w:highlight w:val="none"/>
              </w:rPr>
            </w:pPr>
          </w:p>
        </w:tc>
        <w:tc>
          <w:tcPr>
            <w:tcW w:w="900" w:type="dxa"/>
            <w:noWrap/>
            <w:vAlign w:val="center"/>
          </w:tcPr>
          <w:p w14:paraId="5127EE6D">
            <w:pPr>
              <w:spacing w:line="360" w:lineRule="auto"/>
              <w:rPr>
                <w:rFonts w:ascii="宋体" w:hAnsi="宋体" w:cs="宋体"/>
                <w:color w:val="auto"/>
                <w:sz w:val="24"/>
                <w:szCs w:val="24"/>
                <w:highlight w:val="none"/>
              </w:rPr>
            </w:pPr>
          </w:p>
        </w:tc>
        <w:tc>
          <w:tcPr>
            <w:tcW w:w="720" w:type="dxa"/>
            <w:noWrap/>
            <w:vAlign w:val="center"/>
          </w:tcPr>
          <w:p w14:paraId="386D7438">
            <w:pPr>
              <w:spacing w:line="360" w:lineRule="auto"/>
              <w:rPr>
                <w:rFonts w:ascii="宋体" w:hAnsi="宋体" w:cs="宋体"/>
                <w:color w:val="auto"/>
                <w:sz w:val="24"/>
                <w:szCs w:val="24"/>
                <w:highlight w:val="none"/>
              </w:rPr>
            </w:pPr>
          </w:p>
        </w:tc>
        <w:tc>
          <w:tcPr>
            <w:tcW w:w="1440" w:type="dxa"/>
            <w:noWrap/>
            <w:vAlign w:val="center"/>
          </w:tcPr>
          <w:p w14:paraId="32306288">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3533851D">
            <w:pPr>
              <w:spacing w:line="360" w:lineRule="auto"/>
              <w:rPr>
                <w:rFonts w:ascii="宋体" w:hAnsi="宋体" w:cs="宋体"/>
                <w:color w:val="auto"/>
                <w:sz w:val="24"/>
                <w:szCs w:val="24"/>
                <w:highlight w:val="none"/>
              </w:rPr>
            </w:pPr>
          </w:p>
        </w:tc>
      </w:tr>
      <w:tr w14:paraId="7DEF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683C35A2">
            <w:pPr>
              <w:spacing w:line="360" w:lineRule="auto"/>
              <w:rPr>
                <w:rFonts w:ascii="宋体" w:hAnsi="宋体" w:cs="宋体"/>
                <w:color w:val="auto"/>
                <w:sz w:val="24"/>
                <w:szCs w:val="24"/>
                <w:highlight w:val="none"/>
              </w:rPr>
            </w:pPr>
          </w:p>
        </w:tc>
        <w:tc>
          <w:tcPr>
            <w:tcW w:w="1951" w:type="dxa"/>
            <w:noWrap/>
            <w:vAlign w:val="center"/>
          </w:tcPr>
          <w:p w14:paraId="2F999A13">
            <w:pPr>
              <w:spacing w:line="360" w:lineRule="auto"/>
              <w:rPr>
                <w:rFonts w:ascii="宋体" w:hAnsi="宋体" w:cs="宋体"/>
                <w:color w:val="auto"/>
                <w:sz w:val="24"/>
                <w:szCs w:val="24"/>
                <w:highlight w:val="none"/>
              </w:rPr>
            </w:pPr>
          </w:p>
        </w:tc>
        <w:tc>
          <w:tcPr>
            <w:tcW w:w="569" w:type="dxa"/>
            <w:noWrap/>
            <w:vAlign w:val="center"/>
          </w:tcPr>
          <w:p w14:paraId="03E6ABFD">
            <w:pPr>
              <w:spacing w:line="360" w:lineRule="auto"/>
              <w:rPr>
                <w:rFonts w:ascii="宋体" w:hAnsi="宋体" w:cs="宋体"/>
                <w:color w:val="auto"/>
                <w:sz w:val="24"/>
                <w:szCs w:val="24"/>
                <w:highlight w:val="none"/>
              </w:rPr>
            </w:pPr>
          </w:p>
        </w:tc>
        <w:tc>
          <w:tcPr>
            <w:tcW w:w="540" w:type="dxa"/>
            <w:noWrap/>
            <w:vAlign w:val="center"/>
          </w:tcPr>
          <w:p w14:paraId="0EDCACB8">
            <w:pPr>
              <w:spacing w:line="360" w:lineRule="auto"/>
              <w:rPr>
                <w:rFonts w:ascii="宋体" w:hAnsi="宋体" w:cs="宋体"/>
                <w:color w:val="auto"/>
                <w:sz w:val="24"/>
                <w:szCs w:val="24"/>
                <w:highlight w:val="none"/>
              </w:rPr>
            </w:pPr>
          </w:p>
        </w:tc>
        <w:tc>
          <w:tcPr>
            <w:tcW w:w="900" w:type="dxa"/>
            <w:noWrap/>
            <w:vAlign w:val="center"/>
          </w:tcPr>
          <w:p w14:paraId="2927A6FC">
            <w:pPr>
              <w:spacing w:line="360" w:lineRule="auto"/>
              <w:rPr>
                <w:rFonts w:ascii="宋体" w:hAnsi="宋体" w:cs="宋体"/>
                <w:color w:val="auto"/>
                <w:sz w:val="24"/>
                <w:szCs w:val="24"/>
                <w:highlight w:val="none"/>
              </w:rPr>
            </w:pPr>
          </w:p>
        </w:tc>
        <w:tc>
          <w:tcPr>
            <w:tcW w:w="720" w:type="dxa"/>
            <w:noWrap/>
            <w:vAlign w:val="center"/>
          </w:tcPr>
          <w:p w14:paraId="65922804">
            <w:pPr>
              <w:spacing w:line="360" w:lineRule="auto"/>
              <w:rPr>
                <w:rFonts w:ascii="宋体" w:hAnsi="宋体" w:cs="宋体"/>
                <w:color w:val="auto"/>
                <w:sz w:val="24"/>
                <w:szCs w:val="24"/>
                <w:highlight w:val="none"/>
              </w:rPr>
            </w:pPr>
          </w:p>
        </w:tc>
        <w:tc>
          <w:tcPr>
            <w:tcW w:w="1440" w:type="dxa"/>
            <w:noWrap/>
            <w:vAlign w:val="center"/>
          </w:tcPr>
          <w:p w14:paraId="2EC3A83B">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4B3B7B8A">
            <w:pPr>
              <w:spacing w:line="360" w:lineRule="auto"/>
              <w:rPr>
                <w:rFonts w:ascii="宋体" w:hAnsi="宋体" w:cs="宋体"/>
                <w:color w:val="auto"/>
                <w:sz w:val="24"/>
                <w:szCs w:val="24"/>
                <w:highlight w:val="none"/>
              </w:rPr>
            </w:pPr>
          </w:p>
        </w:tc>
      </w:tr>
      <w:tr w14:paraId="7BA4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4AA67646">
            <w:pPr>
              <w:spacing w:line="360" w:lineRule="auto"/>
              <w:rPr>
                <w:rFonts w:ascii="宋体" w:hAnsi="宋体" w:cs="宋体"/>
                <w:color w:val="auto"/>
                <w:sz w:val="24"/>
                <w:szCs w:val="24"/>
                <w:highlight w:val="none"/>
              </w:rPr>
            </w:pPr>
          </w:p>
        </w:tc>
        <w:tc>
          <w:tcPr>
            <w:tcW w:w="1951" w:type="dxa"/>
            <w:noWrap/>
            <w:vAlign w:val="center"/>
          </w:tcPr>
          <w:p w14:paraId="722C550F">
            <w:pPr>
              <w:spacing w:line="360" w:lineRule="auto"/>
              <w:rPr>
                <w:rFonts w:ascii="宋体" w:hAnsi="宋体" w:cs="宋体"/>
                <w:color w:val="auto"/>
                <w:sz w:val="24"/>
                <w:szCs w:val="24"/>
                <w:highlight w:val="none"/>
              </w:rPr>
            </w:pPr>
          </w:p>
        </w:tc>
        <w:tc>
          <w:tcPr>
            <w:tcW w:w="569" w:type="dxa"/>
            <w:noWrap/>
            <w:vAlign w:val="center"/>
          </w:tcPr>
          <w:p w14:paraId="2A1E59C1">
            <w:pPr>
              <w:spacing w:line="360" w:lineRule="auto"/>
              <w:rPr>
                <w:rFonts w:ascii="宋体" w:hAnsi="宋体" w:cs="宋体"/>
                <w:color w:val="auto"/>
                <w:sz w:val="24"/>
                <w:szCs w:val="24"/>
                <w:highlight w:val="none"/>
              </w:rPr>
            </w:pPr>
          </w:p>
        </w:tc>
        <w:tc>
          <w:tcPr>
            <w:tcW w:w="540" w:type="dxa"/>
            <w:noWrap/>
            <w:vAlign w:val="center"/>
          </w:tcPr>
          <w:p w14:paraId="7F095435">
            <w:pPr>
              <w:spacing w:line="360" w:lineRule="auto"/>
              <w:rPr>
                <w:rFonts w:ascii="宋体" w:hAnsi="宋体" w:cs="宋体"/>
                <w:color w:val="auto"/>
                <w:sz w:val="24"/>
                <w:szCs w:val="24"/>
                <w:highlight w:val="none"/>
              </w:rPr>
            </w:pPr>
          </w:p>
        </w:tc>
        <w:tc>
          <w:tcPr>
            <w:tcW w:w="900" w:type="dxa"/>
            <w:noWrap/>
            <w:vAlign w:val="center"/>
          </w:tcPr>
          <w:p w14:paraId="056A8E54">
            <w:pPr>
              <w:spacing w:line="360" w:lineRule="auto"/>
              <w:rPr>
                <w:rFonts w:ascii="宋体" w:hAnsi="宋体" w:cs="宋体"/>
                <w:color w:val="auto"/>
                <w:sz w:val="24"/>
                <w:szCs w:val="24"/>
                <w:highlight w:val="none"/>
              </w:rPr>
            </w:pPr>
          </w:p>
        </w:tc>
        <w:tc>
          <w:tcPr>
            <w:tcW w:w="720" w:type="dxa"/>
            <w:noWrap/>
            <w:vAlign w:val="center"/>
          </w:tcPr>
          <w:p w14:paraId="47C2E51D">
            <w:pPr>
              <w:spacing w:line="360" w:lineRule="auto"/>
              <w:rPr>
                <w:rFonts w:ascii="宋体" w:hAnsi="宋体" w:cs="宋体"/>
                <w:color w:val="auto"/>
                <w:sz w:val="24"/>
                <w:szCs w:val="24"/>
                <w:highlight w:val="none"/>
              </w:rPr>
            </w:pPr>
          </w:p>
        </w:tc>
        <w:tc>
          <w:tcPr>
            <w:tcW w:w="1440" w:type="dxa"/>
            <w:noWrap/>
            <w:vAlign w:val="center"/>
          </w:tcPr>
          <w:p w14:paraId="5AB809CB">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37A90B8A">
            <w:pPr>
              <w:spacing w:line="360" w:lineRule="auto"/>
              <w:rPr>
                <w:rFonts w:ascii="宋体" w:hAnsi="宋体" w:cs="宋体"/>
                <w:color w:val="auto"/>
                <w:sz w:val="24"/>
                <w:szCs w:val="24"/>
                <w:highlight w:val="none"/>
              </w:rPr>
            </w:pPr>
          </w:p>
        </w:tc>
      </w:tr>
      <w:tr w14:paraId="4D63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06A0144D">
            <w:pPr>
              <w:spacing w:line="360" w:lineRule="auto"/>
              <w:rPr>
                <w:rFonts w:ascii="宋体" w:hAnsi="宋体" w:cs="宋体"/>
                <w:color w:val="auto"/>
                <w:sz w:val="24"/>
                <w:szCs w:val="24"/>
                <w:highlight w:val="none"/>
              </w:rPr>
            </w:pPr>
          </w:p>
        </w:tc>
        <w:tc>
          <w:tcPr>
            <w:tcW w:w="1951" w:type="dxa"/>
            <w:noWrap/>
            <w:vAlign w:val="center"/>
          </w:tcPr>
          <w:p w14:paraId="49CF4C8A">
            <w:pPr>
              <w:spacing w:line="360" w:lineRule="auto"/>
              <w:rPr>
                <w:rFonts w:ascii="宋体" w:hAnsi="宋体" w:cs="宋体"/>
                <w:color w:val="auto"/>
                <w:sz w:val="24"/>
                <w:szCs w:val="24"/>
                <w:highlight w:val="none"/>
              </w:rPr>
            </w:pPr>
          </w:p>
        </w:tc>
        <w:tc>
          <w:tcPr>
            <w:tcW w:w="569" w:type="dxa"/>
            <w:noWrap/>
            <w:vAlign w:val="center"/>
          </w:tcPr>
          <w:p w14:paraId="7D64BDC7">
            <w:pPr>
              <w:spacing w:line="360" w:lineRule="auto"/>
              <w:rPr>
                <w:rFonts w:ascii="宋体" w:hAnsi="宋体" w:cs="宋体"/>
                <w:color w:val="auto"/>
                <w:sz w:val="24"/>
                <w:szCs w:val="24"/>
                <w:highlight w:val="none"/>
              </w:rPr>
            </w:pPr>
          </w:p>
        </w:tc>
        <w:tc>
          <w:tcPr>
            <w:tcW w:w="540" w:type="dxa"/>
            <w:noWrap/>
            <w:vAlign w:val="center"/>
          </w:tcPr>
          <w:p w14:paraId="3E143363">
            <w:pPr>
              <w:spacing w:line="360" w:lineRule="auto"/>
              <w:rPr>
                <w:rFonts w:ascii="宋体" w:hAnsi="宋体" w:cs="宋体"/>
                <w:color w:val="auto"/>
                <w:sz w:val="24"/>
                <w:szCs w:val="24"/>
                <w:highlight w:val="none"/>
              </w:rPr>
            </w:pPr>
          </w:p>
        </w:tc>
        <w:tc>
          <w:tcPr>
            <w:tcW w:w="900" w:type="dxa"/>
            <w:noWrap/>
            <w:vAlign w:val="center"/>
          </w:tcPr>
          <w:p w14:paraId="6128F7BF">
            <w:pPr>
              <w:spacing w:line="360" w:lineRule="auto"/>
              <w:rPr>
                <w:rFonts w:ascii="宋体" w:hAnsi="宋体" w:cs="宋体"/>
                <w:color w:val="auto"/>
                <w:sz w:val="24"/>
                <w:szCs w:val="24"/>
                <w:highlight w:val="none"/>
              </w:rPr>
            </w:pPr>
          </w:p>
        </w:tc>
        <w:tc>
          <w:tcPr>
            <w:tcW w:w="720" w:type="dxa"/>
            <w:noWrap/>
            <w:vAlign w:val="center"/>
          </w:tcPr>
          <w:p w14:paraId="21793A7C">
            <w:pPr>
              <w:spacing w:line="360" w:lineRule="auto"/>
              <w:rPr>
                <w:rFonts w:ascii="宋体" w:hAnsi="宋体" w:cs="宋体"/>
                <w:color w:val="auto"/>
                <w:sz w:val="24"/>
                <w:szCs w:val="24"/>
                <w:highlight w:val="none"/>
              </w:rPr>
            </w:pPr>
          </w:p>
        </w:tc>
        <w:tc>
          <w:tcPr>
            <w:tcW w:w="1440" w:type="dxa"/>
            <w:noWrap/>
            <w:vAlign w:val="center"/>
          </w:tcPr>
          <w:p w14:paraId="6BE5EADC">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3EBFBF33">
            <w:pPr>
              <w:spacing w:line="360" w:lineRule="auto"/>
              <w:rPr>
                <w:rFonts w:ascii="宋体" w:hAnsi="宋体" w:cs="宋体"/>
                <w:color w:val="auto"/>
                <w:sz w:val="24"/>
                <w:szCs w:val="24"/>
                <w:highlight w:val="none"/>
              </w:rPr>
            </w:pPr>
          </w:p>
        </w:tc>
      </w:tr>
      <w:tr w14:paraId="6B0E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5622996F">
            <w:pPr>
              <w:spacing w:line="360" w:lineRule="auto"/>
              <w:rPr>
                <w:rFonts w:ascii="宋体" w:hAnsi="宋体" w:cs="宋体"/>
                <w:color w:val="auto"/>
                <w:sz w:val="24"/>
                <w:szCs w:val="24"/>
                <w:highlight w:val="none"/>
              </w:rPr>
            </w:pPr>
          </w:p>
        </w:tc>
        <w:tc>
          <w:tcPr>
            <w:tcW w:w="1951" w:type="dxa"/>
            <w:noWrap/>
            <w:vAlign w:val="center"/>
          </w:tcPr>
          <w:p w14:paraId="173BD1E2">
            <w:pPr>
              <w:spacing w:line="360" w:lineRule="auto"/>
              <w:rPr>
                <w:rFonts w:ascii="宋体" w:hAnsi="宋体" w:cs="宋体"/>
                <w:color w:val="auto"/>
                <w:sz w:val="24"/>
                <w:szCs w:val="24"/>
                <w:highlight w:val="none"/>
              </w:rPr>
            </w:pPr>
          </w:p>
        </w:tc>
        <w:tc>
          <w:tcPr>
            <w:tcW w:w="569" w:type="dxa"/>
            <w:noWrap/>
            <w:vAlign w:val="center"/>
          </w:tcPr>
          <w:p w14:paraId="16F69844">
            <w:pPr>
              <w:spacing w:line="360" w:lineRule="auto"/>
              <w:rPr>
                <w:rFonts w:ascii="宋体" w:hAnsi="宋体" w:cs="宋体"/>
                <w:color w:val="auto"/>
                <w:sz w:val="24"/>
                <w:szCs w:val="24"/>
                <w:highlight w:val="none"/>
              </w:rPr>
            </w:pPr>
          </w:p>
        </w:tc>
        <w:tc>
          <w:tcPr>
            <w:tcW w:w="540" w:type="dxa"/>
            <w:noWrap/>
            <w:vAlign w:val="center"/>
          </w:tcPr>
          <w:p w14:paraId="0BD066B1">
            <w:pPr>
              <w:spacing w:line="360" w:lineRule="auto"/>
              <w:rPr>
                <w:rFonts w:ascii="宋体" w:hAnsi="宋体" w:cs="宋体"/>
                <w:color w:val="auto"/>
                <w:sz w:val="24"/>
                <w:szCs w:val="24"/>
                <w:highlight w:val="none"/>
              </w:rPr>
            </w:pPr>
          </w:p>
        </w:tc>
        <w:tc>
          <w:tcPr>
            <w:tcW w:w="900" w:type="dxa"/>
            <w:noWrap/>
            <w:vAlign w:val="center"/>
          </w:tcPr>
          <w:p w14:paraId="3A81DC03">
            <w:pPr>
              <w:spacing w:line="360" w:lineRule="auto"/>
              <w:rPr>
                <w:rFonts w:ascii="宋体" w:hAnsi="宋体" w:cs="宋体"/>
                <w:color w:val="auto"/>
                <w:sz w:val="24"/>
                <w:szCs w:val="24"/>
                <w:highlight w:val="none"/>
              </w:rPr>
            </w:pPr>
          </w:p>
        </w:tc>
        <w:tc>
          <w:tcPr>
            <w:tcW w:w="720" w:type="dxa"/>
            <w:noWrap/>
            <w:vAlign w:val="center"/>
          </w:tcPr>
          <w:p w14:paraId="328FCE20">
            <w:pPr>
              <w:spacing w:line="360" w:lineRule="auto"/>
              <w:rPr>
                <w:rFonts w:ascii="宋体" w:hAnsi="宋体" w:cs="宋体"/>
                <w:color w:val="auto"/>
                <w:sz w:val="24"/>
                <w:szCs w:val="24"/>
                <w:highlight w:val="none"/>
              </w:rPr>
            </w:pPr>
          </w:p>
        </w:tc>
        <w:tc>
          <w:tcPr>
            <w:tcW w:w="1440" w:type="dxa"/>
            <w:noWrap/>
            <w:vAlign w:val="center"/>
          </w:tcPr>
          <w:p w14:paraId="6C6203F5">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0FC08194">
            <w:pPr>
              <w:spacing w:line="360" w:lineRule="auto"/>
              <w:rPr>
                <w:rFonts w:ascii="宋体" w:hAnsi="宋体" w:cs="宋体"/>
                <w:color w:val="auto"/>
                <w:sz w:val="24"/>
                <w:szCs w:val="24"/>
                <w:highlight w:val="none"/>
              </w:rPr>
            </w:pPr>
          </w:p>
        </w:tc>
      </w:tr>
      <w:tr w14:paraId="07B8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73F14E93">
            <w:pPr>
              <w:spacing w:line="360" w:lineRule="auto"/>
              <w:rPr>
                <w:rFonts w:ascii="宋体" w:hAnsi="宋体" w:cs="宋体"/>
                <w:color w:val="auto"/>
                <w:sz w:val="24"/>
                <w:szCs w:val="24"/>
                <w:highlight w:val="none"/>
              </w:rPr>
            </w:pPr>
          </w:p>
        </w:tc>
        <w:tc>
          <w:tcPr>
            <w:tcW w:w="1951" w:type="dxa"/>
            <w:noWrap/>
            <w:vAlign w:val="center"/>
          </w:tcPr>
          <w:p w14:paraId="22D9EE0F">
            <w:pPr>
              <w:spacing w:line="360" w:lineRule="auto"/>
              <w:rPr>
                <w:rFonts w:ascii="宋体" w:hAnsi="宋体" w:cs="宋体"/>
                <w:color w:val="auto"/>
                <w:sz w:val="24"/>
                <w:szCs w:val="24"/>
                <w:highlight w:val="none"/>
              </w:rPr>
            </w:pPr>
          </w:p>
        </w:tc>
        <w:tc>
          <w:tcPr>
            <w:tcW w:w="569" w:type="dxa"/>
            <w:noWrap/>
            <w:vAlign w:val="center"/>
          </w:tcPr>
          <w:p w14:paraId="158E8F86">
            <w:pPr>
              <w:spacing w:line="360" w:lineRule="auto"/>
              <w:rPr>
                <w:rFonts w:ascii="宋体" w:hAnsi="宋体" w:cs="宋体"/>
                <w:color w:val="auto"/>
                <w:sz w:val="24"/>
                <w:szCs w:val="24"/>
                <w:highlight w:val="none"/>
              </w:rPr>
            </w:pPr>
          </w:p>
        </w:tc>
        <w:tc>
          <w:tcPr>
            <w:tcW w:w="540" w:type="dxa"/>
            <w:noWrap/>
            <w:vAlign w:val="center"/>
          </w:tcPr>
          <w:p w14:paraId="67F8B247">
            <w:pPr>
              <w:spacing w:line="360" w:lineRule="auto"/>
              <w:rPr>
                <w:rFonts w:ascii="宋体" w:hAnsi="宋体" w:cs="宋体"/>
                <w:color w:val="auto"/>
                <w:sz w:val="24"/>
                <w:szCs w:val="24"/>
                <w:highlight w:val="none"/>
              </w:rPr>
            </w:pPr>
          </w:p>
        </w:tc>
        <w:tc>
          <w:tcPr>
            <w:tcW w:w="900" w:type="dxa"/>
            <w:noWrap/>
            <w:vAlign w:val="center"/>
          </w:tcPr>
          <w:p w14:paraId="1F8C6142">
            <w:pPr>
              <w:spacing w:line="360" w:lineRule="auto"/>
              <w:rPr>
                <w:rFonts w:ascii="宋体" w:hAnsi="宋体" w:cs="宋体"/>
                <w:color w:val="auto"/>
                <w:sz w:val="24"/>
                <w:szCs w:val="24"/>
                <w:highlight w:val="none"/>
              </w:rPr>
            </w:pPr>
          </w:p>
        </w:tc>
        <w:tc>
          <w:tcPr>
            <w:tcW w:w="720" w:type="dxa"/>
            <w:noWrap/>
            <w:vAlign w:val="center"/>
          </w:tcPr>
          <w:p w14:paraId="32A7DDD3">
            <w:pPr>
              <w:spacing w:line="360" w:lineRule="auto"/>
              <w:rPr>
                <w:rFonts w:ascii="宋体" w:hAnsi="宋体" w:cs="宋体"/>
                <w:color w:val="auto"/>
                <w:sz w:val="24"/>
                <w:szCs w:val="24"/>
                <w:highlight w:val="none"/>
              </w:rPr>
            </w:pPr>
          </w:p>
        </w:tc>
        <w:tc>
          <w:tcPr>
            <w:tcW w:w="1440" w:type="dxa"/>
            <w:noWrap/>
            <w:vAlign w:val="center"/>
          </w:tcPr>
          <w:p w14:paraId="5A1E402F">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038D5713">
            <w:pPr>
              <w:spacing w:line="360" w:lineRule="auto"/>
              <w:rPr>
                <w:rFonts w:ascii="宋体" w:hAnsi="宋体" w:cs="宋体"/>
                <w:color w:val="auto"/>
                <w:sz w:val="24"/>
                <w:szCs w:val="24"/>
                <w:highlight w:val="none"/>
              </w:rPr>
            </w:pPr>
          </w:p>
        </w:tc>
      </w:tr>
      <w:tr w14:paraId="5C78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0984963A">
            <w:pPr>
              <w:spacing w:line="360" w:lineRule="auto"/>
              <w:rPr>
                <w:rFonts w:ascii="宋体" w:hAnsi="宋体" w:cs="宋体"/>
                <w:color w:val="auto"/>
                <w:sz w:val="24"/>
                <w:szCs w:val="24"/>
                <w:highlight w:val="none"/>
              </w:rPr>
            </w:pPr>
          </w:p>
        </w:tc>
        <w:tc>
          <w:tcPr>
            <w:tcW w:w="1951" w:type="dxa"/>
            <w:noWrap/>
            <w:vAlign w:val="center"/>
          </w:tcPr>
          <w:p w14:paraId="2619BA90">
            <w:pPr>
              <w:spacing w:line="360" w:lineRule="auto"/>
              <w:rPr>
                <w:rFonts w:ascii="宋体" w:hAnsi="宋体" w:cs="宋体"/>
                <w:color w:val="auto"/>
                <w:sz w:val="24"/>
                <w:szCs w:val="24"/>
                <w:highlight w:val="none"/>
              </w:rPr>
            </w:pPr>
          </w:p>
        </w:tc>
        <w:tc>
          <w:tcPr>
            <w:tcW w:w="569" w:type="dxa"/>
            <w:noWrap/>
            <w:vAlign w:val="center"/>
          </w:tcPr>
          <w:p w14:paraId="06BF5607">
            <w:pPr>
              <w:spacing w:line="360" w:lineRule="auto"/>
              <w:rPr>
                <w:rFonts w:ascii="宋体" w:hAnsi="宋体" w:cs="宋体"/>
                <w:color w:val="auto"/>
                <w:sz w:val="24"/>
                <w:szCs w:val="24"/>
                <w:highlight w:val="none"/>
              </w:rPr>
            </w:pPr>
          </w:p>
        </w:tc>
        <w:tc>
          <w:tcPr>
            <w:tcW w:w="540" w:type="dxa"/>
            <w:noWrap/>
            <w:vAlign w:val="center"/>
          </w:tcPr>
          <w:p w14:paraId="195E1729">
            <w:pPr>
              <w:spacing w:line="360" w:lineRule="auto"/>
              <w:rPr>
                <w:rFonts w:ascii="宋体" w:hAnsi="宋体" w:cs="宋体"/>
                <w:color w:val="auto"/>
                <w:sz w:val="24"/>
                <w:szCs w:val="24"/>
                <w:highlight w:val="none"/>
              </w:rPr>
            </w:pPr>
          </w:p>
        </w:tc>
        <w:tc>
          <w:tcPr>
            <w:tcW w:w="900" w:type="dxa"/>
            <w:noWrap/>
            <w:vAlign w:val="center"/>
          </w:tcPr>
          <w:p w14:paraId="2B89BA7C">
            <w:pPr>
              <w:spacing w:line="360" w:lineRule="auto"/>
              <w:rPr>
                <w:rFonts w:ascii="宋体" w:hAnsi="宋体" w:cs="宋体"/>
                <w:color w:val="auto"/>
                <w:sz w:val="24"/>
                <w:szCs w:val="24"/>
                <w:highlight w:val="none"/>
              </w:rPr>
            </w:pPr>
          </w:p>
        </w:tc>
        <w:tc>
          <w:tcPr>
            <w:tcW w:w="720" w:type="dxa"/>
            <w:noWrap/>
            <w:vAlign w:val="center"/>
          </w:tcPr>
          <w:p w14:paraId="59C62D06">
            <w:pPr>
              <w:spacing w:line="360" w:lineRule="auto"/>
              <w:rPr>
                <w:rFonts w:ascii="宋体" w:hAnsi="宋体" w:cs="宋体"/>
                <w:color w:val="auto"/>
                <w:sz w:val="24"/>
                <w:szCs w:val="24"/>
                <w:highlight w:val="none"/>
              </w:rPr>
            </w:pPr>
          </w:p>
        </w:tc>
        <w:tc>
          <w:tcPr>
            <w:tcW w:w="1440" w:type="dxa"/>
            <w:noWrap/>
            <w:vAlign w:val="center"/>
          </w:tcPr>
          <w:p w14:paraId="007EF098">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643F34BC">
            <w:pPr>
              <w:spacing w:line="360" w:lineRule="auto"/>
              <w:rPr>
                <w:rFonts w:ascii="宋体" w:hAnsi="宋体" w:cs="宋体"/>
                <w:color w:val="auto"/>
                <w:sz w:val="24"/>
                <w:szCs w:val="24"/>
                <w:highlight w:val="none"/>
              </w:rPr>
            </w:pPr>
          </w:p>
        </w:tc>
      </w:tr>
      <w:tr w14:paraId="55FD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7C311A56">
            <w:pPr>
              <w:spacing w:line="360" w:lineRule="auto"/>
              <w:rPr>
                <w:rFonts w:ascii="宋体" w:hAnsi="宋体" w:cs="宋体"/>
                <w:color w:val="auto"/>
                <w:sz w:val="24"/>
                <w:szCs w:val="24"/>
                <w:highlight w:val="none"/>
              </w:rPr>
            </w:pPr>
          </w:p>
        </w:tc>
        <w:tc>
          <w:tcPr>
            <w:tcW w:w="1951" w:type="dxa"/>
            <w:noWrap/>
            <w:vAlign w:val="center"/>
          </w:tcPr>
          <w:p w14:paraId="016F52B3">
            <w:pPr>
              <w:spacing w:line="360" w:lineRule="auto"/>
              <w:rPr>
                <w:rFonts w:ascii="宋体" w:hAnsi="宋体" w:cs="宋体"/>
                <w:color w:val="auto"/>
                <w:sz w:val="24"/>
                <w:szCs w:val="24"/>
                <w:highlight w:val="none"/>
              </w:rPr>
            </w:pPr>
          </w:p>
        </w:tc>
        <w:tc>
          <w:tcPr>
            <w:tcW w:w="569" w:type="dxa"/>
            <w:noWrap/>
            <w:vAlign w:val="center"/>
          </w:tcPr>
          <w:p w14:paraId="2E50C2D5">
            <w:pPr>
              <w:spacing w:line="360" w:lineRule="auto"/>
              <w:rPr>
                <w:rFonts w:ascii="宋体" w:hAnsi="宋体" w:cs="宋体"/>
                <w:color w:val="auto"/>
                <w:sz w:val="24"/>
                <w:szCs w:val="24"/>
                <w:highlight w:val="none"/>
              </w:rPr>
            </w:pPr>
          </w:p>
        </w:tc>
        <w:tc>
          <w:tcPr>
            <w:tcW w:w="540" w:type="dxa"/>
            <w:noWrap/>
            <w:vAlign w:val="center"/>
          </w:tcPr>
          <w:p w14:paraId="673D9B5C">
            <w:pPr>
              <w:spacing w:line="360" w:lineRule="auto"/>
              <w:rPr>
                <w:rFonts w:ascii="宋体" w:hAnsi="宋体" w:cs="宋体"/>
                <w:color w:val="auto"/>
                <w:sz w:val="24"/>
                <w:szCs w:val="24"/>
                <w:highlight w:val="none"/>
              </w:rPr>
            </w:pPr>
          </w:p>
        </w:tc>
        <w:tc>
          <w:tcPr>
            <w:tcW w:w="900" w:type="dxa"/>
            <w:noWrap/>
            <w:vAlign w:val="center"/>
          </w:tcPr>
          <w:p w14:paraId="4D822618">
            <w:pPr>
              <w:spacing w:line="360" w:lineRule="auto"/>
              <w:rPr>
                <w:rFonts w:ascii="宋体" w:hAnsi="宋体" w:cs="宋体"/>
                <w:color w:val="auto"/>
                <w:sz w:val="24"/>
                <w:szCs w:val="24"/>
                <w:highlight w:val="none"/>
              </w:rPr>
            </w:pPr>
          </w:p>
        </w:tc>
        <w:tc>
          <w:tcPr>
            <w:tcW w:w="720" w:type="dxa"/>
            <w:noWrap/>
            <w:vAlign w:val="center"/>
          </w:tcPr>
          <w:p w14:paraId="44D5A037">
            <w:pPr>
              <w:spacing w:line="360" w:lineRule="auto"/>
              <w:rPr>
                <w:rFonts w:ascii="宋体" w:hAnsi="宋体" w:cs="宋体"/>
                <w:color w:val="auto"/>
                <w:sz w:val="24"/>
                <w:szCs w:val="24"/>
                <w:highlight w:val="none"/>
              </w:rPr>
            </w:pPr>
          </w:p>
        </w:tc>
        <w:tc>
          <w:tcPr>
            <w:tcW w:w="1440" w:type="dxa"/>
            <w:noWrap/>
            <w:vAlign w:val="center"/>
          </w:tcPr>
          <w:p w14:paraId="76E26136">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45E19931">
            <w:pPr>
              <w:spacing w:line="360" w:lineRule="auto"/>
              <w:rPr>
                <w:rFonts w:ascii="宋体" w:hAnsi="宋体" w:cs="宋体"/>
                <w:color w:val="auto"/>
                <w:sz w:val="24"/>
                <w:szCs w:val="24"/>
                <w:highlight w:val="none"/>
              </w:rPr>
            </w:pPr>
          </w:p>
        </w:tc>
      </w:tr>
      <w:tr w14:paraId="5E8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5E232DB9">
            <w:pPr>
              <w:spacing w:line="360" w:lineRule="auto"/>
              <w:rPr>
                <w:rFonts w:ascii="宋体" w:hAnsi="宋体" w:cs="宋体"/>
                <w:color w:val="auto"/>
                <w:sz w:val="24"/>
                <w:szCs w:val="24"/>
                <w:highlight w:val="none"/>
              </w:rPr>
            </w:pPr>
          </w:p>
        </w:tc>
        <w:tc>
          <w:tcPr>
            <w:tcW w:w="1951" w:type="dxa"/>
            <w:noWrap/>
            <w:vAlign w:val="center"/>
          </w:tcPr>
          <w:p w14:paraId="304E36DA">
            <w:pPr>
              <w:spacing w:line="360" w:lineRule="auto"/>
              <w:rPr>
                <w:rFonts w:ascii="宋体" w:hAnsi="宋体" w:cs="宋体"/>
                <w:color w:val="auto"/>
                <w:sz w:val="24"/>
                <w:szCs w:val="24"/>
                <w:highlight w:val="none"/>
              </w:rPr>
            </w:pPr>
          </w:p>
        </w:tc>
        <w:tc>
          <w:tcPr>
            <w:tcW w:w="569" w:type="dxa"/>
            <w:noWrap/>
            <w:vAlign w:val="center"/>
          </w:tcPr>
          <w:p w14:paraId="1A0BE953">
            <w:pPr>
              <w:spacing w:line="360" w:lineRule="auto"/>
              <w:rPr>
                <w:rFonts w:ascii="宋体" w:hAnsi="宋体" w:cs="宋体"/>
                <w:color w:val="auto"/>
                <w:sz w:val="24"/>
                <w:szCs w:val="24"/>
                <w:highlight w:val="none"/>
              </w:rPr>
            </w:pPr>
          </w:p>
        </w:tc>
        <w:tc>
          <w:tcPr>
            <w:tcW w:w="540" w:type="dxa"/>
            <w:noWrap/>
            <w:vAlign w:val="center"/>
          </w:tcPr>
          <w:p w14:paraId="2062D055">
            <w:pPr>
              <w:spacing w:line="360" w:lineRule="auto"/>
              <w:rPr>
                <w:rFonts w:ascii="宋体" w:hAnsi="宋体" w:cs="宋体"/>
                <w:color w:val="auto"/>
                <w:sz w:val="24"/>
                <w:szCs w:val="24"/>
                <w:highlight w:val="none"/>
              </w:rPr>
            </w:pPr>
          </w:p>
        </w:tc>
        <w:tc>
          <w:tcPr>
            <w:tcW w:w="900" w:type="dxa"/>
            <w:noWrap/>
            <w:vAlign w:val="center"/>
          </w:tcPr>
          <w:p w14:paraId="724A3F5D">
            <w:pPr>
              <w:spacing w:line="360" w:lineRule="auto"/>
              <w:rPr>
                <w:rFonts w:ascii="宋体" w:hAnsi="宋体" w:cs="宋体"/>
                <w:color w:val="auto"/>
                <w:sz w:val="24"/>
                <w:szCs w:val="24"/>
                <w:highlight w:val="none"/>
              </w:rPr>
            </w:pPr>
          </w:p>
        </w:tc>
        <w:tc>
          <w:tcPr>
            <w:tcW w:w="720" w:type="dxa"/>
            <w:noWrap/>
            <w:vAlign w:val="center"/>
          </w:tcPr>
          <w:p w14:paraId="55F92286">
            <w:pPr>
              <w:spacing w:line="360" w:lineRule="auto"/>
              <w:rPr>
                <w:rFonts w:ascii="宋体" w:hAnsi="宋体" w:cs="宋体"/>
                <w:color w:val="auto"/>
                <w:sz w:val="24"/>
                <w:szCs w:val="24"/>
                <w:highlight w:val="none"/>
              </w:rPr>
            </w:pPr>
          </w:p>
        </w:tc>
        <w:tc>
          <w:tcPr>
            <w:tcW w:w="1440" w:type="dxa"/>
            <w:noWrap/>
            <w:vAlign w:val="center"/>
          </w:tcPr>
          <w:p w14:paraId="16B6175E">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199C2E5F">
            <w:pPr>
              <w:spacing w:line="360" w:lineRule="auto"/>
              <w:rPr>
                <w:rFonts w:ascii="宋体" w:hAnsi="宋体" w:cs="宋体"/>
                <w:color w:val="auto"/>
                <w:sz w:val="24"/>
                <w:szCs w:val="24"/>
                <w:highlight w:val="none"/>
              </w:rPr>
            </w:pPr>
          </w:p>
        </w:tc>
      </w:tr>
      <w:tr w14:paraId="414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2D84546E">
            <w:pPr>
              <w:spacing w:line="360" w:lineRule="auto"/>
              <w:rPr>
                <w:rFonts w:ascii="宋体" w:hAnsi="宋体" w:cs="宋体"/>
                <w:color w:val="auto"/>
                <w:sz w:val="24"/>
                <w:szCs w:val="24"/>
                <w:highlight w:val="none"/>
              </w:rPr>
            </w:pPr>
          </w:p>
        </w:tc>
        <w:tc>
          <w:tcPr>
            <w:tcW w:w="1951" w:type="dxa"/>
            <w:noWrap/>
            <w:vAlign w:val="center"/>
          </w:tcPr>
          <w:p w14:paraId="279B0BD1">
            <w:pPr>
              <w:spacing w:line="360" w:lineRule="auto"/>
              <w:rPr>
                <w:rFonts w:ascii="宋体" w:hAnsi="宋体" w:cs="宋体"/>
                <w:color w:val="auto"/>
                <w:sz w:val="24"/>
                <w:szCs w:val="24"/>
                <w:highlight w:val="none"/>
              </w:rPr>
            </w:pPr>
          </w:p>
        </w:tc>
        <w:tc>
          <w:tcPr>
            <w:tcW w:w="569" w:type="dxa"/>
            <w:noWrap/>
            <w:vAlign w:val="center"/>
          </w:tcPr>
          <w:p w14:paraId="5C4DB36B">
            <w:pPr>
              <w:spacing w:line="360" w:lineRule="auto"/>
              <w:rPr>
                <w:rFonts w:ascii="宋体" w:hAnsi="宋体" w:cs="宋体"/>
                <w:color w:val="auto"/>
                <w:sz w:val="24"/>
                <w:szCs w:val="24"/>
                <w:highlight w:val="none"/>
              </w:rPr>
            </w:pPr>
          </w:p>
        </w:tc>
        <w:tc>
          <w:tcPr>
            <w:tcW w:w="540" w:type="dxa"/>
            <w:noWrap/>
            <w:vAlign w:val="center"/>
          </w:tcPr>
          <w:p w14:paraId="41F4AA3D">
            <w:pPr>
              <w:spacing w:line="360" w:lineRule="auto"/>
              <w:rPr>
                <w:rFonts w:ascii="宋体" w:hAnsi="宋体" w:cs="宋体"/>
                <w:color w:val="auto"/>
                <w:sz w:val="24"/>
                <w:szCs w:val="24"/>
                <w:highlight w:val="none"/>
              </w:rPr>
            </w:pPr>
          </w:p>
        </w:tc>
        <w:tc>
          <w:tcPr>
            <w:tcW w:w="900" w:type="dxa"/>
            <w:noWrap/>
            <w:vAlign w:val="center"/>
          </w:tcPr>
          <w:p w14:paraId="39F3498E">
            <w:pPr>
              <w:spacing w:line="360" w:lineRule="auto"/>
              <w:rPr>
                <w:rFonts w:ascii="宋体" w:hAnsi="宋体" w:cs="宋体"/>
                <w:color w:val="auto"/>
                <w:sz w:val="24"/>
                <w:szCs w:val="24"/>
                <w:highlight w:val="none"/>
              </w:rPr>
            </w:pPr>
          </w:p>
        </w:tc>
        <w:tc>
          <w:tcPr>
            <w:tcW w:w="720" w:type="dxa"/>
            <w:noWrap/>
            <w:vAlign w:val="center"/>
          </w:tcPr>
          <w:p w14:paraId="410F4266">
            <w:pPr>
              <w:spacing w:line="360" w:lineRule="auto"/>
              <w:rPr>
                <w:rFonts w:ascii="宋体" w:hAnsi="宋体" w:cs="宋体"/>
                <w:color w:val="auto"/>
                <w:sz w:val="24"/>
                <w:szCs w:val="24"/>
                <w:highlight w:val="none"/>
              </w:rPr>
            </w:pPr>
          </w:p>
        </w:tc>
        <w:tc>
          <w:tcPr>
            <w:tcW w:w="1440" w:type="dxa"/>
            <w:noWrap/>
            <w:vAlign w:val="center"/>
          </w:tcPr>
          <w:p w14:paraId="740EEA3F">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5B8857A1">
            <w:pPr>
              <w:spacing w:line="360" w:lineRule="auto"/>
              <w:rPr>
                <w:rFonts w:ascii="宋体" w:hAnsi="宋体" w:cs="宋体"/>
                <w:color w:val="auto"/>
                <w:sz w:val="24"/>
                <w:szCs w:val="24"/>
                <w:highlight w:val="none"/>
              </w:rPr>
            </w:pPr>
          </w:p>
        </w:tc>
      </w:tr>
      <w:tr w14:paraId="0F87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231EA474">
            <w:pPr>
              <w:spacing w:line="360" w:lineRule="auto"/>
              <w:rPr>
                <w:rFonts w:ascii="宋体" w:hAnsi="宋体" w:cs="宋体"/>
                <w:color w:val="auto"/>
                <w:sz w:val="24"/>
                <w:szCs w:val="24"/>
                <w:highlight w:val="none"/>
              </w:rPr>
            </w:pPr>
          </w:p>
        </w:tc>
        <w:tc>
          <w:tcPr>
            <w:tcW w:w="1951" w:type="dxa"/>
            <w:noWrap/>
            <w:vAlign w:val="center"/>
          </w:tcPr>
          <w:p w14:paraId="78EBBC5C">
            <w:pPr>
              <w:spacing w:line="360" w:lineRule="auto"/>
              <w:rPr>
                <w:rFonts w:ascii="宋体" w:hAnsi="宋体" w:cs="宋体"/>
                <w:color w:val="auto"/>
                <w:sz w:val="24"/>
                <w:szCs w:val="24"/>
                <w:highlight w:val="none"/>
              </w:rPr>
            </w:pPr>
          </w:p>
        </w:tc>
        <w:tc>
          <w:tcPr>
            <w:tcW w:w="569" w:type="dxa"/>
            <w:noWrap/>
            <w:vAlign w:val="center"/>
          </w:tcPr>
          <w:p w14:paraId="4F5C5F13">
            <w:pPr>
              <w:spacing w:line="360" w:lineRule="auto"/>
              <w:rPr>
                <w:rFonts w:ascii="宋体" w:hAnsi="宋体" w:cs="宋体"/>
                <w:color w:val="auto"/>
                <w:sz w:val="24"/>
                <w:szCs w:val="24"/>
                <w:highlight w:val="none"/>
              </w:rPr>
            </w:pPr>
          </w:p>
        </w:tc>
        <w:tc>
          <w:tcPr>
            <w:tcW w:w="540" w:type="dxa"/>
            <w:noWrap/>
            <w:vAlign w:val="center"/>
          </w:tcPr>
          <w:p w14:paraId="32074C6F">
            <w:pPr>
              <w:spacing w:line="360" w:lineRule="auto"/>
              <w:rPr>
                <w:rFonts w:ascii="宋体" w:hAnsi="宋体" w:cs="宋体"/>
                <w:color w:val="auto"/>
                <w:sz w:val="24"/>
                <w:szCs w:val="24"/>
                <w:highlight w:val="none"/>
              </w:rPr>
            </w:pPr>
          </w:p>
        </w:tc>
        <w:tc>
          <w:tcPr>
            <w:tcW w:w="900" w:type="dxa"/>
            <w:noWrap/>
            <w:vAlign w:val="center"/>
          </w:tcPr>
          <w:p w14:paraId="0DA1B3A0">
            <w:pPr>
              <w:spacing w:line="360" w:lineRule="auto"/>
              <w:rPr>
                <w:rFonts w:ascii="宋体" w:hAnsi="宋体" w:cs="宋体"/>
                <w:color w:val="auto"/>
                <w:sz w:val="24"/>
                <w:szCs w:val="24"/>
                <w:highlight w:val="none"/>
              </w:rPr>
            </w:pPr>
          </w:p>
        </w:tc>
        <w:tc>
          <w:tcPr>
            <w:tcW w:w="720" w:type="dxa"/>
            <w:noWrap/>
            <w:vAlign w:val="center"/>
          </w:tcPr>
          <w:p w14:paraId="41B8707E">
            <w:pPr>
              <w:spacing w:line="360" w:lineRule="auto"/>
              <w:rPr>
                <w:rFonts w:ascii="宋体" w:hAnsi="宋体" w:cs="宋体"/>
                <w:color w:val="auto"/>
                <w:sz w:val="24"/>
                <w:szCs w:val="24"/>
                <w:highlight w:val="none"/>
              </w:rPr>
            </w:pPr>
          </w:p>
        </w:tc>
        <w:tc>
          <w:tcPr>
            <w:tcW w:w="1440" w:type="dxa"/>
            <w:noWrap/>
            <w:vAlign w:val="center"/>
          </w:tcPr>
          <w:p w14:paraId="35B761FE">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1EC60AD7">
            <w:pPr>
              <w:spacing w:line="360" w:lineRule="auto"/>
              <w:rPr>
                <w:rFonts w:ascii="宋体" w:hAnsi="宋体" w:cs="宋体"/>
                <w:color w:val="auto"/>
                <w:sz w:val="24"/>
                <w:szCs w:val="24"/>
                <w:highlight w:val="none"/>
              </w:rPr>
            </w:pPr>
          </w:p>
        </w:tc>
      </w:tr>
      <w:tr w14:paraId="6016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7EEB2543">
            <w:pPr>
              <w:spacing w:line="360" w:lineRule="auto"/>
              <w:rPr>
                <w:rFonts w:ascii="宋体" w:hAnsi="宋体" w:cs="宋体"/>
                <w:color w:val="auto"/>
                <w:sz w:val="24"/>
                <w:szCs w:val="24"/>
                <w:highlight w:val="none"/>
              </w:rPr>
            </w:pPr>
          </w:p>
        </w:tc>
        <w:tc>
          <w:tcPr>
            <w:tcW w:w="1951" w:type="dxa"/>
            <w:noWrap/>
            <w:vAlign w:val="center"/>
          </w:tcPr>
          <w:p w14:paraId="34B733CF">
            <w:pPr>
              <w:spacing w:line="360" w:lineRule="auto"/>
              <w:rPr>
                <w:rFonts w:ascii="宋体" w:hAnsi="宋体" w:cs="宋体"/>
                <w:color w:val="auto"/>
                <w:sz w:val="24"/>
                <w:szCs w:val="24"/>
                <w:highlight w:val="none"/>
              </w:rPr>
            </w:pPr>
          </w:p>
        </w:tc>
        <w:tc>
          <w:tcPr>
            <w:tcW w:w="569" w:type="dxa"/>
            <w:noWrap/>
            <w:vAlign w:val="center"/>
          </w:tcPr>
          <w:p w14:paraId="5ADA0FF2">
            <w:pPr>
              <w:spacing w:line="360" w:lineRule="auto"/>
              <w:rPr>
                <w:rFonts w:ascii="宋体" w:hAnsi="宋体" w:cs="宋体"/>
                <w:color w:val="auto"/>
                <w:sz w:val="24"/>
                <w:szCs w:val="24"/>
                <w:highlight w:val="none"/>
              </w:rPr>
            </w:pPr>
          </w:p>
        </w:tc>
        <w:tc>
          <w:tcPr>
            <w:tcW w:w="540" w:type="dxa"/>
            <w:noWrap/>
            <w:vAlign w:val="center"/>
          </w:tcPr>
          <w:p w14:paraId="5AC3CF6A">
            <w:pPr>
              <w:spacing w:line="360" w:lineRule="auto"/>
              <w:rPr>
                <w:rFonts w:ascii="宋体" w:hAnsi="宋体" w:cs="宋体"/>
                <w:color w:val="auto"/>
                <w:sz w:val="24"/>
                <w:szCs w:val="24"/>
                <w:highlight w:val="none"/>
              </w:rPr>
            </w:pPr>
          </w:p>
        </w:tc>
        <w:tc>
          <w:tcPr>
            <w:tcW w:w="900" w:type="dxa"/>
            <w:noWrap/>
            <w:vAlign w:val="center"/>
          </w:tcPr>
          <w:p w14:paraId="49696E79">
            <w:pPr>
              <w:spacing w:line="360" w:lineRule="auto"/>
              <w:rPr>
                <w:rFonts w:ascii="宋体" w:hAnsi="宋体" w:cs="宋体"/>
                <w:color w:val="auto"/>
                <w:sz w:val="24"/>
                <w:szCs w:val="24"/>
                <w:highlight w:val="none"/>
              </w:rPr>
            </w:pPr>
          </w:p>
        </w:tc>
        <w:tc>
          <w:tcPr>
            <w:tcW w:w="720" w:type="dxa"/>
            <w:noWrap/>
            <w:vAlign w:val="center"/>
          </w:tcPr>
          <w:p w14:paraId="5F4241E7">
            <w:pPr>
              <w:spacing w:line="360" w:lineRule="auto"/>
              <w:rPr>
                <w:rFonts w:ascii="宋体" w:hAnsi="宋体" w:cs="宋体"/>
                <w:color w:val="auto"/>
                <w:sz w:val="24"/>
                <w:szCs w:val="24"/>
                <w:highlight w:val="none"/>
              </w:rPr>
            </w:pPr>
          </w:p>
        </w:tc>
        <w:tc>
          <w:tcPr>
            <w:tcW w:w="1440" w:type="dxa"/>
            <w:noWrap/>
            <w:vAlign w:val="center"/>
          </w:tcPr>
          <w:p w14:paraId="30B97080">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495D20D7">
            <w:pPr>
              <w:spacing w:line="360" w:lineRule="auto"/>
              <w:rPr>
                <w:rFonts w:ascii="宋体" w:hAnsi="宋体" w:cs="宋体"/>
                <w:color w:val="auto"/>
                <w:sz w:val="24"/>
                <w:szCs w:val="24"/>
                <w:highlight w:val="none"/>
              </w:rPr>
            </w:pPr>
          </w:p>
        </w:tc>
      </w:tr>
      <w:tr w14:paraId="4CD9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25251671">
            <w:pPr>
              <w:spacing w:line="360" w:lineRule="auto"/>
              <w:rPr>
                <w:rFonts w:ascii="宋体" w:hAnsi="宋体" w:cs="宋体"/>
                <w:color w:val="auto"/>
                <w:sz w:val="24"/>
                <w:szCs w:val="24"/>
                <w:highlight w:val="none"/>
              </w:rPr>
            </w:pPr>
          </w:p>
        </w:tc>
        <w:tc>
          <w:tcPr>
            <w:tcW w:w="1951" w:type="dxa"/>
            <w:noWrap/>
            <w:vAlign w:val="center"/>
          </w:tcPr>
          <w:p w14:paraId="0FA07F81">
            <w:pPr>
              <w:spacing w:line="360" w:lineRule="auto"/>
              <w:rPr>
                <w:rFonts w:ascii="宋体" w:hAnsi="宋体" w:cs="宋体"/>
                <w:color w:val="auto"/>
                <w:sz w:val="24"/>
                <w:szCs w:val="24"/>
                <w:highlight w:val="none"/>
              </w:rPr>
            </w:pPr>
          </w:p>
        </w:tc>
        <w:tc>
          <w:tcPr>
            <w:tcW w:w="569" w:type="dxa"/>
            <w:noWrap/>
            <w:vAlign w:val="center"/>
          </w:tcPr>
          <w:p w14:paraId="66FE7F2F">
            <w:pPr>
              <w:spacing w:line="360" w:lineRule="auto"/>
              <w:rPr>
                <w:rFonts w:ascii="宋体" w:hAnsi="宋体" w:cs="宋体"/>
                <w:color w:val="auto"/>
                <w:sz w:val="24"/>
                <w:szCs w:val="24"/>
                <w:highlight w:val="none"/>
              </w:rPr>
            </w:pPr>
          </w:p>
        </w:tc>
        <w:tc>
          <w:tcPr>
            <w:tcW w:w="540" w:type="dxa"/>
            <w:noWrap/>
            <w:vAlign w:val="center"/>
          </w:tcPr>
          <w:p w14:paraId="47267AAD">
            <w:pPr>
              <w:spacing w:line="360" w:lineRule="auto"/>
              <w:rPr>
                <w:rFonts w:ascii="宋体" w:hAnsi="宋体" w:cs="宋体"/>
                <w:color w:val="auto"/>
                <w:sz w:val="24"/>
                <w:szCs w:val="24"/>
                <w:highlight w:val="none"/>
              </w:rPr>
            </w:pPr>
          </w:p>
        </w:tc>
        <w:tc>
          <w:tcPr>
            <w:tcW w:w="900" w:type="dxa"/>
            <w:noWrap/>
            <w:vAlign w:val="center"/>
          </w:tcPr>
          <w:p w14:paraId="49346F78">
            <w:pPr>
              <w:spacing w:line="360" w:lineRule="auto"/>
              <w:rPr>
                <w:rFonts w:ascii="宋体" w:hAnsi="宋体" w:cs="宋体"/>
                <w:color w:val="auto"/>
                <w:sz w:val="24"/>
                <w:szCs w:val="24"/>
                <w:highlight w:val="none"/>
              </w:rPr>
            </w:pPr>
          </w:p>
        </w:tc>
        <w:tc>
          <w:tcPr>
            <w:tcW w:w="720" w:type="dxa"/>
            <w:noWrap/>
            <w:vAlign w:val="center"/>
          </w:tcPr>
          <w:p w14:paraId="0F2B0689">
            <w:pPr>
              <w:spacing w:line="360" w:lineRule="auto"/>
              <w:rPr>
                <w:rFonts w:ascii="宋体" w:hAnsi="宋体" w:cs="宋体"/>
                <w:color w:val="auto"/>
                <w:sz w:val="24"/>
                <w:szCs w:val="24"/>
                <w:highlight w:val="none"/>
              </w:rPr>
            </w:pPr>
          </w:p>
        </w:tc>
        <w:tc>
          <w:tcPr>
            <w:tcW w:w="1440" w:type="dxa"/>
            <w:noWrap/>
            <w:vAlign w:val="center"/>
          </w:tcPr>
          <w:p w14:paraId="6DAEBFB5">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5B0DF19D">
            <w:pPr>
              <w:spacing w:line="360" w:lineRule="auto"/>
              <w:rPr>
                <w:rFonts w:ascii="宋体" w:hAnsi="宋体" w:cs="宋体"/>
                <w:color w:val="auto"/>
                <w:sz w:val="24"/>
                <w:szCs w:val="24"/>
                <w:highlight w:val="none"/>
              </w:rPr>
            </w:pPr>
          </w:p>
        </w:tc>
      </w:tr>
      <w:tr w14:paraId="1B4C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367D4E5E">
            <w:pPr>
              <w:spacing w:line="360" w:lineRule="auto"/>
              <w:rPr>
                <w:rFonts w:ascii="宋体" w:hAnsi="宋体" w:cs="宋体"/>
                <w:color w:val="auto"/>
                <w:sz w:val="24"/>
                <w:szCs w:val="24"/>
                <w:highlight w:val="none"/>
              </w:rPr>
            </w:pPr>
          </w:p>
        </w:tc>
        <w:tc>
          <w:tcPr>
            <w:tcW w:w="1951" w:type="dxa"/>
            <w:noWrap/>
            <w:vAlign w:val="center"/>
          </w:tcPr>
          <w:p w14:paraId="419E9F46">
            <w:pPr>
              <w:spacing w:line="360" w:lineRule="auto"/>
              <w:rPr>
                <w:rFonts w:ascii="宋体" w:hAnsi="宋体" w:cs="宋体"/>
                <w:color w:val="auto"/>
                <w:sz w:val="24"/>
                <w:szCs w:val="24"/>
                <w:highlight w:val="none"/>
              </w:rPr>
            </w:pPr>
          </w:p>
        </w:tc>
        <w:tc>
          <w:tcPr>
            <w:tcW w:w="569" w:type="dxa"/>
            <w:noWrap/>
            <w:vAlign w:val="center"/>
          </w:tcPr>
          <w:p w14:paraId="701014E6">
            <w:pPr>
              <w:spacing w:line="360" w:lineRule="auto"/>
              <w:rPr>
                <w:rFonts w:ascii="宋体" w:hAnsi="宋体" w:cs="宋体"/>
                <w:color w:val="auto"/>
                <w:sz w:val="24"/>
                <w:szCs w:val="24"/>
                <w:highlight w:val="none"/>
              </w:rPr>
            </w:pPr>
          </w:p>
        </w:tc>
        <w:tc>
          <w:tcPr>
            <w:tcW w:w="540" w:type="dxa"/>
            <w:noWrap/>
            <w:vAlign w:val="center"/>
          </w:tcPr>
          <w:p w14:paraId="40FFD701">
            <w:pPr>
              <w:spacing w:line="360" w:lineRule="auto"/>
              <w:rPr>
                <w:rFonts w:ascii="宋体" w:hAnsi="宋体" w:cs="宋体"/>
                <w:color w:val="auto"/>
                <w:sz w:val="24"/>
                <w:szCs w:val="24"/>
                <w:highlight w:val="none"/>
              </w:rPr>
            </w:pPr>
          </w:p>
        </w:tc>
        <w:tc>
          <w:tcPr>
            <w:tcW w:w="900" w:type="dxa"/>
            <w:noWrap/>
            <w:vAlign w:val="center"/>
          </w:tcPr>
          <w:p w14:paraId="7D89ADDF">
            <w:pPr>
              <w:spacing w:line="360" w:lineRule="auto"/>
              <w:rPr>
                <w:rFonts w:ascii="宋体" w:hAnsi="宋体" w:cs="宋体"/>
                <w:color w:val="auto"/>
                <w:sz w:val="24"/>
                <w:szCs w:val="24"/>
                <w:highlight w:val="none"/>
              </w:rPr>
            </w:pPr>
          </w:p>
        </w:tc>
        <w:tc>
          <w:tcPr>
            <w:tcW w:w="720" w:type="dxa"/>
            <w:noWrap/>
            <w:vAlign w:val="center"/>
          </w:tcPr>
          <w:p w14:paraId="11925D63">
            <w:pPr>
              <w:spacing w:line="360" w:lineRule="auto"/>
              <w:rPr>
                <w:rFonts w:ascii="宋体" w:hAnsi="宋体" w:cs="宋体"/>
                <w:color w:val="auto"/>
                <w:sz w:val="24"/>
                <w:szCs w:val="24"/>
                <w:highlight w:val="none"/>
              </w:rPr>
            </w:pPr>
          </w:p>
        </w:tc>
        <w:tc>
          <w:tcPr>
            <w:tcW w:w="1440" w:type="dxa"/>
            <w:noWrap/>
            <w:vAlign w:val="center"/>
          </w:tcPr>
          <w:p w14:paraId="7B48977F">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15BD0ECC">
            <w:pPr>
              <w:spacing w:line="360" w:lineRule="auto"/>
              <w:rPr>
                <w:rFonts w:ascii="宋体" w:hAnsi="宋体" w:cs="宋体"/>
                <w:color w:val="auto"/>
                <w:sz w:val="24"/>
                <w:szCs w:val="24"/>
                <w:highlight w:val="none"/>
              </w:rPr>
            </w:pPr>
          </w:p>
        </w:tc>
      </w:tr>
      <w:tr w14:paraId="1DA9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14:paraId="57557223">
            <w:pPr>
              <w:spacing w:line="360" w:lineRule="auto"/>
              <w:rPr>
                <w:rFonts w:ascii="宋体" w:hAnsi="宋体" w:cs="宋体"/>
                <w:color w:val="auto"/>
                <w:sz w:val="24"/>
                <w:szCs w:val="24"/>
                <w:highlight w:val="none"/>
              </w:rPr>
            </w:pPr>
          </w:p>
        </w:tc>
        <w:tc>
          <w:tcPr>
            <w:tcW w:w="1951" w:type="dxa"/>
            <w:noWrap/>
            <w:vAlign w:val="center"/>
          </w:tcPr>
          <w:p w14:paraId="225BDFEB">
            <w:pPr>
              <w:spacing w:line="360" w:lineRule="auto"/>
              <w:rPr>
                <w:rFonts w:ascii="宋体" w:hAnsi="宋体" w:cs="宋体"/>
                <w:color w:val="auto"/>
                <w:sz w:val="24"/>
                <w:szCs w:val="24"/>
                <w:highlight w:val="none"/>
              </w:rPr>
            </w:pPr>
          </w:p>
        </w:tc>
        <w:tc>
          <w:tcPr>
            <w:tcW w:w="569" w:type="dxa"/>
            <w:noWrap/>
            <w:vAlign w:val="center"/>
          </w:tcPr>
          <w:p w14:paraId="46C983C8">
            <w:pPr>
              <w:spacing w:line="360" w:lineRule="auto"/>
              <w:rPr>
                <w:rFonts w:ascii="宋体" w:hAnsi="宋体" w:cs="宋体"/>
                <w:color w:val="auto"/>
                <w:sz w:val="24"/>
                <w:szCs w:val="24"/>
                <w:highlight w:val="none"/>
              </w:rPr>
            </w:pPr>
          </w:p>
        </w:tc>
        <w:tc>
          <w:tcPr>
            <w:tcW w:w="540" w:type="dxa"/>
            <w:noWrap/>
            <w:vAlign w:val="center"/>
          </w:tcPr>
          <w:p w14:paraId="27A86313">
            <w:pPr>
              <w:spacing w:line="360" w:lineRule="auto"/>
              <w:rPr>
                <w:rFonts w:ascii="宋体" w:hAnsi="宋体" w:cs="宋体"/>
                <w:color w:val="auto"/>
                <w:sz w:val="24"/>
                <w:szCs w:val="24"/>
                <w:highlight w:val="none"/>
              </w:rPr>
            </w:pPr>
          </w:p>
        </w:tc>
        <w:tc>
          <w:tcPr>
            <w:tcW w:w="900" w:type="dxa"/>
            <w:noWrap/>
            <w:vAlign w:val="center"/>
          </w:tcPr>
          <w:p w14:paraId="1922A891">
            <w:pPr>
              <w:spacing w:line="360" w:lineRule="auto"/>
              <w:rPr>
                <w:rFonts w:ascii="宋体" w:hAnsi="宋体" w:cs="宋体"/>
                <w:color w:val="auto"/>
                <w:sz w:val="24"/>
                <w:szCs w:val="24"/>
                <w:highlight w:val="none"/>
              </w:rPr>
            </w:pPr>
          </w:p>
        </w:tc>
        <w:tc>
          <w:tcPr>
            <w:tcW w:w="720" w:type="dxa"/>
            <w:noWrap/>
            <w:vAlign w:val="center"/>
          </w:tcPr>
          <w:p w14:paraId="02F03164">
            <w:pPr>
              <w:spacing w:line="360" w:lineRule="auto"/>
              <w:rPr>
                <w:rFonts w:ascii="宋体" w:hAnsi="宋体" w:cs="宋体"/>
                <w:color w:val="auto"/>
                <w:sz w:val="24"/>
                <w:szCs w:val="24"/>
                <w:highlight w:val="none"/>
              </w:rPr>
            </w:pPr>
          </w:p>
        </w:tc>
        <w:tc>
          <w:tcPr>
            <w:tcW w:w="1440" w:type="dxa"/>
            <w:noWrap/>
            <w:vAlign w:val="center"/>
          </w:tcPr>
          <w:p w14:paraId="26076BBD">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14:paraId="760D301E">
            <w:pPr>
              <w:spacing w:line="360" w:lineRule="auto"/>
              <w:rPr>
                <w:rFonts w:ascii="宋体" w:hAnsi="宋体" w:cs="宋体"/>
                <w:color w:val="auto"/>
                <w:sz w:val="24"/>
                <w:szCs w:val="24"/>
                <w:highlight w:val="none"/>
              </w:rPr>
            </w:pPr>
          </w:p>
        </w:tc>
      </w:tr>
      <w:tr w14:paraId="36CA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520" w:type="dxa"/>
            <w:gridSpan w:val="8"/>
            <w:tcBorders>
              <w:left w:val="single" w:color="auto" w:sz="12" w:space="0"/>
              <w:bottom w:val="single" w:color="auto" w:sz="12" w:space="0"/>
              <w:right w:val="single" w:color="auto" w:sz="12" w:space="0"/>
            </w:tcBorders>
            <w:noWrap/>
            <w:vAlign w:val="center"/>
          </w:tcPr>
          <w:p w14:paraId="54BD87AD">
            <w:pPr>
              <w:spacing w:line="360" w:lineRule="auto"/>
              <w:rPr>
                <w:rFonts w:ascii="宋体" w:hAnsi="宋体" w:cs="宋体"/>
                <w:color w:val="auto"/>
                <w:sz w:val="24"/>
                <w:szCs w:val="24"/>
                <w:highlight w:val="none"/>
              </w:rPr>
            </w:pPr>
          </w:p>
        </w:tc>
      </w:tr>
    </w:tbl>
    <w:p w14:paraId="0423D8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注：列入本表人员如要更换，需经招标人单位同意。擅自更换或不到位属违约行为。</w:t>
      </w:r>
    </w:p>
    <w:p w14:paraId="4D9776E0">
      <w:pPr>
        <w:spacing w:line="360" w:lineRule="auto"/>
        <w:rPr>
          <w:rFonts w:ascii="宋体" w:hAnsi="宋体" w:cs="宋体"/>
          <w:color w:val="auto"/>
          <w:sz w:val="24"/>
          <w:szCs w:val="24"/>
          <w:highlight w:val="none"/>
        </w:rPr>
      </w:pPr>
    </w:p>
    <w:p w14:paraId="4A47E086">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62A7D1B">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派驻现场监理人员简历表</w:t>
      </w:r>
    </w:p>
    <w:p w14:paraId="5916D89D">
      <w:pPr>
        <w:pStyle w:val="13"/>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工程名称：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14:paraId="4C47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14:paraId="600CEF3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2520" w:type="dxa"/>
            <w:noWrap/>
            <w:vAlign w:val="center"/>
          </w:tcPr>
          <w:p w14:paraId="701EEFC9">
            <w:pPr>
              <w:spacing w:line="360" w:lineRule="auto"/>
              <w:rPr>
                <w:rFonts w:ascii="宋体" w:hAnsi="宋体" w:cs="宋体"/>
                <w:color w:val="auto"/>
                <w:sz w:val="24"/>
                <w:szCs w:val="24"/>
                <w:highlight w:val="none"/>
              </w:rPr>
            </w:pPr>
          </w:p>
        </w:tc>
        <w:tc>
          <w:tcPr>
            <w:tcW w:w="2160" w:type="dxa"/>
            <w:noWrap/>
            <w:vAlign w:val="center"/>
          </w:tcPr>
          <w:p w14:paraId="09E5AAA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出 生 年 月</w:t>
            </w:r>
          </w:p>
        </w:tc>
        <w:tc>
          <w:tcPr>
            <w:tcW w:w="1932" w:type="dxa"/>
            <w:noWrap/>
            <w:vAlign w:val="center"/>
          </w:tcPr>
          <w:p w14:paraId="44D91278">
            <w:pPr>
              <w:spacing w:line="360" w:lineRule="auto"/>
              <w:rPr>
                <w:rFonts w:ascii="宋体" w:hAnsi="宋体" w:cs="宋体"/>
                <w:color w:val="auto"/>
                <w:sz w:val="24"/>
                <w:szCs w:val="24"/>
                <w:highlight w:val="none"/>
              </w:rPr>
            </w:pPr>
          </w:p>
        </w:tc>
      </w:tr>
      <w:tr w14:paraId="08F9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14:paraId="5FFAC10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文 化 程 度</w:t>
            </w:r>
          </w:p>
        </w:tc>
        <w:tc>
          <w:tcPr>
            <w:tcW w:w="2520" w:type="dxa"/>
            <w:noWrap/>
            <w:vAlign w:val="center"/>
          </w:tcPr>
          <w:p w14:paraId="6D45E9E3">
            <w:pPr>
              <w:spacing w:line="360" w:lineRule="auto"/>
              <w:rPr>
                <w:rFonts w:ascii="宋体" w:hAnsi="宋体" w:cs="宋体"/>
                <w:color w:val="auto"/>
                <w:sz w:val="24"/>
                <w:szCs w:val="24"/>
                <w:highlight w:val="none"/>
              </w:rPr>
            </w:pPr>
          </w:p>
        </w:tc>
        <w:tc>
          <w:tcPr>
            <w:tcW w:w="2160" w:type="dxa"/>
            <w:noWrap/>
            <w:vAlign w:val="center"/>
          </w:tcPr>
          <w:p w14:paraId="546E99F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技 术 职 称</w:t>
            </w:r>
          </w:p>
        </w:tc>
        <w:tc>
          <w:tcPr>
            <w:tcW w:w="1932" w:type="dxa"/>
            <w:noWrap/>
            <w:vAlign w:val="center"/>
          </w:tcPr>
          <w:p w14:paraId="027FA9FE">
            <w:pPr>
              <w:spacing w:line="360" w:lineRule="auto"/>
              <w:rPr>
                <w:rFonts w:ascii="宋体" w:hAnsi="宋体" w:cs="宋体"/>
                <w:color w:val="auto"/>
                <w:sz w:val="24"/>
                <w:szCs w:val="24"/>
                <w:highlight w:val="none"/>
              </w:rPr>
            </w:pPr>
          </w:p>
        </w:tc>
      </w:tr>
      <w:tr w14:paraId="67F7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14:paraId="5E277A6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毕业院校、专业</w:t>
            </w:r>
          </w:p>
        </w:tc>
        <w:tc>
          <w:tcPr>
            <w:tcW w:w="2520" w:type="dxa"/>
            <w:noWrap/>
            <w:vAlign w:val="center"/>
          </w:tcPr>
          <w:p w14:paraId="5F85010B">
            <w:pPr>
              <w:spacing w:line="360" w:lineRule="auto"/>
              <w:rPr>
                <w:rFonts w:ascii="宋体" w:hAnsi="宋体" w:cs="宋体"/>
                <w:color w:val="auto"/>
                <w:sz w:val="24"/>
                <w:szCs w:val="24"/>
                <w:highlight w:val="none"/>
              </w:rPr>
            </w:pPr>
          </w:p>
        </w:tc>
        <w:tc>
          <w:tcPr>
            <w:tcW w:w="2160" w:type="dxa"/>
            <w:noWrap/>
            <w:vAlign w:val="center"/>
          </w:tcPr>
          <w:p w14:paraId="0A063EB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毕 业 时 间</w:t>
            </w:r>
          </w:p>
        </w:tc>
        <w:tc>
          <w:tcPr>
            <w:tcW w:w="1932" w:type="dxa"/>
            <w:noWrap/>
            <w:vAlign w:val="center"/>
          </w:tcPr>
          <w:p w14:paraId="4FF2B535">
            <w:pPr>
              <w:spacing w:line="360" w:lineRule="auto"/>
              <w:rPr>
                <w:rFonts w:ascii="宋体" w:hAnsi="宋体" w:cs="宋体"/>
                <w:color w:val="auto"/>
                <w:sz w:val="24"/>
                <w:szCs w:val="24"/>
                <w:highlight w:val="none"/>
              </w:rPr>
            </w:pPr>
          </w:p>
        </w:tc>
      </w:tr>
      <w:tr w14:paraId="5983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14:paraId="354C17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现 任 职 务</w:t>
            </w:r>
          </w:p>
        </w:tc>
        <w:tc>
          <w:tcPr>
            <w:tcW w:w="2520" w:type="dxa"/>
            <w:noWrap/>
            <w:vAlign w:val="center"/>
          </w:tcPr>
          <w:p w14:paraId="3E265D9D">
            <w:pPr>
              <w:spacing w:line="360" w:lineRule="auto"/>
              <w:rPr>
                <w:rFonts w:ascii="宋体" w:hAnsi="宋体" w:cs="宋体"/>
                <w:color w:val="auto"/>
                <w:sz w:val="24"/>
                <w:szCs w:val="24"/>
                <w:highlight w:val="none"/>
              </w:rPr>
            </w:pPr>
          </w:p>
        </w:tc>
        <w:tc>
          <w:tcPr>
            <w:tcW w:w="2160" w:type="dxa"/>
            <w:noWrap/>
            <w:vAlign w:val="center"/>
          </w:tcPr>
          <w:p w14:paraId="0DDF70F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从事监理工作时间</w:t>
            </w:r>
          </w:p>
        </w:tc>
        <w:tc>
          <w:tcPr>
            <w:tcW w:w="1932" w:type="dxa"/>
            <w:noWrap/>
            <w:vAlign w:val="center"/>
          </w:tcPr>
          <w:p w14:paraId="3ED238EE">
            <w:pPr>
              <w:spacing w:line="360" w:lineRule="auto"/>
              <w:rPr>
                <w:rFonts w:ascii="宋体" w:hAnsi="宋体" w:cs="宋体"/>
                <w:color w:val="auto"/>
                <w:sz w:val="24"/>
                <w:szCs w:val="24"/>
                <w:highlight w:val="none"/>
              </w:rPr>
            </w:pPr>
          </w:p>
        </w:tc>
      </w:tr>
      <w:tr w14:paraId="31D5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14:paraId="42B3A2C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监理培训证书号</w:t>
            </w:r>
          </w:p>
        </w:tc>
        <w:tc>
          <w:tcPr>
            <w:tcW w:w="2520" w:type="dxa"/>
            <w:noWrap/>
            <w:vAlign w:val="center"/>
          </w:tcPr>
          <w:p w14:paraId="294A3921">
            <w:pPr>
              <w:spacing w:line="360" w:lineRule="auto"/>
              <w:rPr>
                <w:rFonts w:ascii="宋体" w:hAnsi="宋体" w:cs="宋体"/>
                <w:color w:val="auto"/>
                <w:sz w:val="24"/>
                <w:szCs w:val="24"/>
                <w:highlight w:val="none"/>
              </w:rPr>
            </w:pPr>
          </w:p>
        </w:tc>
        <w:tc>
          <w:tcPr>
            <w:tcW w:w="2160" w:type="dxa"/>
            <w:noWrap/>
            <w:vAlign w:val="center"/>
          </w:tcPr>
          <w:p w14:paraId="70C6F9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监理工程师证书号</w:t>
            </w:r>
          </w:p>
        </w:tc>
        <w:tc>
          <w:tcPr>
            <w:tcW w:w="1932" w:type="dxa"/>
            <w:noWrap/>
            <w:vAlign w:val="center"/>
          </w:tcPr>
          <w:p w14:paraId="14712C46">
            <w:pPr>
              <w:spacing w:line="360" w:lineRule="auto"/>
              <w:rPr>
                <w:rFonts w:ascii="宋体" w:hAnsi="宋体" w:cs="宋体"/>
                <w:color w:val="auto"/>
                <w:sz w:val="24"/>
                <w:szCs w:val="24"/>
                <w:highlight w:val="none"/>
              </w:rPr>
            </w:pPr>
          </w:p>
        </w:tc>
      </w:tr>
      <w:tr w14:paraId="7A9D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1" w:hRule="atLeast"/>
          <w:jc w:val="center"/>
        </w:trPr>
        <w:tc>
          <w:tcPr>
            <w:tcW w:w="8520" w:type="dxa"/>
            <w:gridSpan w:val="4"/>
            <w:noWrap/>
          </w:tcPr>
          <w:p w14:paraId="73CB2E2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工作简历：</w:t>
            </w:r>
          </w:p>
        </w:tc>
      </w:tr>
    </w:tbl>
    <w:p w14:paraId="6296F8B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注：每表一人。</w:t>
      </w:r>
    </w:p>
    <w:p w14:paraId="18893307">
      <w:pPr>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总监理工程师已完成监理的工程一览表</w:t>
      </w:r>
    </w:p>
    <w:p w14:paraId="058AFA84">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59FE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40CC8C3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14:paraId="21D43E61">
            <w:pPr>
              <w:spacing w:line="360" w:lineRule="auto"/>
              <w:jc w:val="center"/>
              <w:rPr>
                <w:rFonts w:ascii="宋体" w:hAnsi="宋体" w:cs="宋体"/>
                <w:color w:val="auto"/>
                <w:sz w:val="24"/>
                <w:szCs w:val="24"/>
                <w:highlight w:val="none"/>
              </w:rPr>
            </w:pPr>
          </w:p>
        </w:tc>
      </w:tr>
      <w:tr w14:paraId="3A29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6BA0955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14:paraId="6B6E09C1">
            <w:pPr>
              <w:spacing w:line="360" w:lineRule="auto"/>
              <w:jc w:val="center"/>
              <w:rPr>
                <w:rFonts w:ascii="宋体" w:hAnsi="宋体" w:cs="宋体"/>
                <w:color w:val="auto"/>
                <w:sz w:val="24"/>
                <w:szCs w:val="24"/>
                <w:highlight w:val="none"/>
              </w:rPr>
            </w:pPr>
          </w:p>
        </w:tc>
      </w:tr>
      <w:tr w14:paraId="0796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C9EC57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14:paraId="1261E07B">
            <w:pPr>
              <w:spacing w:line="360" w:lineRule="auto"/>
              <w:jc w:val="center"/>
              <w:rPr>
                <w:rFonts w:ascii="宋体" w:hAnsi="宋体" w:cs="宋体"/>
                <w:color w:val="auto"/>
                <w:sz w:val="24"/>
                <w:szCs w:val="24"/>
                <w:highlight w:val="none"/>
              </w:rPr>
            </w:pPr>
          </w:p>
        </w:tc>
      </w:tr>
      <w:tr w14:paraId="354B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4603589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14:paraId="220956F3">
            <w:pPr>
              <w:spacing w:line="360" w:lineRule="auto"/>
              <w:jc w:val="center"/>
              <w:rPr>
                <w:rFonts w:ascii="宋体" w:hAnsi="宋体" w:cs="宋体"/>
                <w:color w:val="auto"/>
                <w:sz w:val="24"/>
                <w:szCs w:val="24"/>
                <w:highlight w:val="none"/>
              </w:rPr>
            </w:pPr>
          </w:p>
        </w:tc>
        <w:tc>
          <w:tcPr>
            <w:tcW w:w="1849" w:type="dxa"/>
            <w:noWrap/>
          </w:tcPr>
          <w:p w14:paraId="67673DE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14:paraId="2E830AA5">
            <w:pPr>
              <w:spacing w:line="360" w:lineRule="auto"/>
              <w:jc w:val="center"/>
              <w:rPr>
                <w:rFonts w:ascii="宋体" w:hAnsi="宋体" w:cs="宋体"/>
                <w:color w:val="auto"/>
                <w:sz w:val="24"/>
                <w:szCs w:val="24"/>
                <w:highlight w:val="none"/>
              </w:rPr>
            </w:pPr>
          </w:p>
        </w:tc>
      </w:tr>
      <w:tr w14:paraId="73B0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3A8C43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2700" w:type="dxa"/>
            <w:noWrap/>
          </w:tcPr>
          <w:p w14:paraId="30FB52C8">
            <w:pPr>
              <w:spacing w:line="360" w:lineRule="auto"/>
              <w:jc w:val="center"/>
              <w:rPr>
                <w:rFonts w:ascii="宋体" w:hAnsi="宋体" w:cs="宋体"/>
                <w:color w:val="auto"/>
                <w:sz w:val="24"/>
                <w:szCs w:val="24"/>
                <w:highlight w:val="none"/>
              </w:rPr>
            </w:pPr>
          </w:p>
        </w:tc>
        <w:tc>
          <w:tcPr>
            <w:tcW w:w="1849" w:type="dxa"/>
            <w:noWrap/>
          </w:tcPr>
          <w:p w14:paraId="43D018B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预计完工时间</w:t>
            </w:r>
          </w:p>
        </w:tc>
        <w:tc>
          <w:tcPr>
            <w:tcW w:w="2011" w:type="dxa"/>
            <w:noWrap/>
          </w:tcPr>
          <w:p w14:paraId="09B213CD">
            <w:pPr>
              <w:spacing w:line="360" w:lineRule="auto"/>
              <w:jc w:val="center"/>
              <w:rPr>
                <w:rFonts w:ascii="宋体" w:hAnsi="宋体" w:cs="宋体"/>
                <w:color w:val="auto"/>
                <w:sz w:val="24"/>
                <w:szCs w:val="24"/>
                <w:highlight w:val="none"/>
              </w:rPr>
            </w:pPr>
          </w:p>
        </w:tc>
      </w:tr>
      <w:tr w14:paraId="1C1B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AF57A3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2700" w:type="dxa"/>
            <w:noWrap/>
          </w:tcPr>
          <w:p w14:paraId="35DD10C3">
            <w:pPr>
              <w:spacing w:line="360" w:lineRule="auto"/>
              <w:jc w:val="center"/>
              <w:rPr>
                <w:rFonts w:ascii="宋体" w:hAnsi="宋体" w:cs="宋体"/>
                <w:color w:val="auto"/>
                <w:sz w:val="24"/>
                <w:szCs w:val="24"/>
                <w:highlight w:val="none"/>
              </w:rPr>
            </w:pPr>
          </w:p>
        </w:tc>
        <w:tc>
          <w:tcPr>
            <w:tcW w:w="1849" w:type="dxa"/>
            <w:noWrap/>
          </w:tcPr>
          <w:p w14:paraId="383DFBC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14:paraId="2596EB19">
            <w:pPr>
              <w:spacing w:line="360" w:lineRule="auto"/>
              <w:jc w:val="center"/>
              <w:rPr>
                <w:rFonts w:ascii="宋体" w:hAnsi="宋体" w:cs="宋体"/>
                <w:color w:val="auto"/>
                <w:sz w:val="24"/>
                <w:szCs w:val="24"/>
                <w:highlight w:val="none"/>
              </w:rPr>
            </w:pPr>
          </w:p>
        </w:tc>
      </w:tr>
      <w:tr w14:paraId="461C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14:paraId="0B2EFDF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14:paraId="0B16BBAB">
            <w:pPr>
              <w:spacing w:line="360" w:lineRule="auto"/>
              <w:rPr>
                <w:rFonts w:ascii="宋体" w:hAnsi="宋体" w:cs="宋体"/>
                <w:color w:val="auto"/>
                <w:sz w:val="24"/>
                <w:szCs w:val="24"/>
                <w:highlight w:val="none"/>
              </w:rPr>
            </w:pPr>
          </w:p>
          <w:p w14:paraId="418F801C">
            <w:pPr>
              <w:spacing w:line="360" w:lineRule="auto"/>
              <w:rPr>
                <w:rFonts w:ascii="宋体" w:hAnsi="宋体" w:cs="宋体"/>
                <w:color w:val="auto"/>
                <w:sz w:val="24"/>
                <w:szCs w:val="24"/>
                <w:highlight w:val="none"/>
              </w:rPr>
            </w:pPr>
          </w:p>
          <w:p w14:paraId="7BEDC3FB">
            <w:pPr>
              <w:spacing w:line="360" w:lineRule="auto"/>
              <w:rPr>
                <w:rFonts w:ascii="宋体" w:hAnsi="宋体" w:cs="宋体"/>
                <w:color w:val="auto"/>
                <w:sz w:val="24"/>
                <w:szCs w:val="24"/>
                <w:highlight w:val="none"/>
              </w:rPr>
            </w:pPr>
          </w:p>
          <w:p w14:paraId="46C9AF36">
            <w:pPr>
              <w:spacing w:line="360" w:lineRule="auto"/>
              <w:rPr>
                <w:rFonts w:ascii="宋体" w:hAnsi="宋体" w:cs="宋体"/>
                <w:color w:val="auto"/>
                <w:sz w:val="24"/>
                <w:szCs w:val="24"/>
                <w:highlight w:val="none"/>
              </w:rPr>
            </w:pPr>
          </w:p>
          <w:p w14:paraId="614F8053">
            <w:pPr>
              <w:spacing w:line="360" w:lineRule="auto"/>
              <w:rPr>
                <w:rFonts w:ascii="宋体" w:hAnsi="宋体" w:cs="宋体"/>
                <w:color w:val="auto"/>
                <w:sz w:val="24"/>
                <w:szCs w:val="24"/>
                <w:highlight w:val="none"/>
              </w:rPr>
            </w:pPr>
          </w:p>
        </w:tc>
      </w:tr>
      <w:tr w14:paraId="664D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36FAA8B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14:paraId="7A7C52F4">
            <w:pPr>
              <w:spacing w:line="360" w:lineRule="auto"/>
              <w:jc w:val="center"/>
              <w:rPr>
                <w:rFonts w:ascii="宋体" w:hAnsi="宋体" w:cs="宋体"/>
                <w:color w:val="auto"/>
                <w:sz w:val="24"/>
                <w:szCs w:val="24"/>
                <w:highlight w:val="none"/>
              </w:rPr>
            </w:pPr>
          </w:p>
        </w:tc>
      </w:tr>
      <w:tr w14:paraId="78B1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47E4B0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14:paraId="3D31C619">
            <w:pPr>
              <w:spacing w:line="360" w:lineRule="auto"/>
              <w:jc w:val="center"/>
              <w:rPr>
                <w:rFonts w:ascii="宋体" w:hAnsi="宋体" w:cs="宋体"/>
                <w:color w:val="auto"/>
                <w:sz w:val="24"/>
                <w:szCs w:val="24"/>
                <w:highlight w:val="none"/>
              </w:rPr>
            </w:pPr>
          </w:p>
        </w:tc>
      </w:tr>
      <w:tr w14:paraId="72DA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14:paraId="5C8138F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14:paraId="3BE4EC2B">
            <w:pPr>
              <w:spacing w:line="360" w:lineRule="auto"/>
              <w:jc w:val="center"/>
              <w:rPr>
                <w:rFonts w:ascii="宋体" w:hAnsi="宋体" w:cs="宋体"/>
                <w:color w:val="auto"/>
                <w:sz w:val="24"/>
                <w:szCs w:val="24"/>
                <w:highlight w:val="none"/>
              </w:rPr>
            </w:pPr>
          </w:p>
          <w:p w14:paraId="702C0D37">
            <w:pPr>
              <w:spacing w:line="360" w:lineRule="auto"/>
              <w:jc w:val="center"/>
              <w:rPr>
                <w:rFonts w:ascii="宋体" w:hAnsi="宋体" w:cs="宋体"/>
                <w:color w:val="auto"/>
                <w:sz w:val="24"/>
                <w:szCs w:val="24"/>
                <w:highlight w:val="none"/>
              </w:rPr>
            </w:pPr>
          </w:p>
          <w:p w14:paraId="3205EEB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14:paraId="59EF248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14:paraId="432F00E3">
            <w:pPr>
              <w:spacing w:line="360" w:lineRule="auto"/>
              <w:jc w:val="center"/>
              <w:rPr>
                <w:rFonts w:ascii="宋体" w:hAnsi="宋体" w:cs="宋体"/>
                <w:color w:val="auto"/>
                <w:sz w:val="24"/>
                <w:szCs w:val="24"/>
                <w:highlight w:val="none"/>
              </w:rPr>
            </w:pPr>
          </w:p>
        </w:tc>
      </w:tr>
      <w:tr w14:paraId="0E92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6C7F70A2">
            <w:pPr>
              <w:spacing w:line="360" w:lineRule="auto"/>
              <w:jc w:val="center"/>
              <w:rPr>
                <w:rFonts w:ascii="宋体" w:hAnsi="宋体" w:cs="宋体"/>
                <w:color w:val="auto"/>
                <w:sz w:val="24"/>
                <w:szCs w:val="24"/>
                <w:highlight w:val="none"/>
              </w:rPr>
            </w:pPr>
          </w:p>
        </w:tc>
        <w:tc>
          <w:tcPr>
            <w:tcW w:w="1980" w:type="dxa"/>
            <w:noWrap/>
          </w:tcPr>
          <w:p w14:paraId="0227A1C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14:paraId="6C628E76">
            <w:pPr>
              <w:spacing w:line="360" w:lineRule="auto"/>
              <w:jc w:val="center"/>
              <w:rPr>
                <w:rFonts w:ascii="宋体" w:hAnsi="宋体" w:cs="宋体"/>
                <w:color w:val="auto"/>
                <w:sz w:val="24"/>
                <w:szCs w:val="24"/>
                <w:highlight w:val="none"/>
              </w:rPr>
            </w:pPr>
          </w:p>
        </w:tc>
      </w:tr>
      <w:tr w14:paraId="7DCF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41EB3A45">
            <w:pPr>
              <w:spacing w:line="360" w:lineRule="auto"/>
              <w:jc w:val="center"/>
              <w:rPr>
                <w:rFonts w:ascii="宋体" w:hAnsi="宋体" w:cs="宋体"/>
                <w:color w:val="auto"/>
                <w:sz w:val="24"/>
                <w:szCs w:val="24"/>
                <w:highlight w:val="none"/>
              </w:rPr>
            </w:pPr>
          </w:p>
        </w:tc>
        <w:tc>
          <w:tcPr>
            <w:tcW w:w="1980" w:type="dxa"/>
            <w:noWrap/>
          </w:tcPr>
          <w:p w14:paraId="7FD6B61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14:paraId="599041D6">
            <w:pPr>
              <w:spacing w:line="360" w:lineRule="auto"/>
              <w:jc w:val="center"/>
              <w:rPr>
                <w:rFonts w:ascii="宋体" w:hAnsi="宋体" w:cs="宋体"/>
                <w:color w:val="auto"/>
                <w:sz w:val="24"/>
                <w:szCs w:val="24"/>
                <w:highlight w:val="none"/>
              </w:rPr>
            </w:pPr>
          </w:p>
        </w:tc>
      </w:tr>
      <w:tr w14:paraId="4FC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3BADF3C1">
            <w:pPr>
              <w:spacing w:line="360" w:lineRule="auto"/>
              <w:jc w:val="center"/>
              <w:rPr>
                <w:rFonts w:ascii="宋体" w:hAnsi="宋体" w:cs="宋体"/>
                <w:color w:val="auto"/>
                <w:sz w:val="24"/>
                <w:szCs w:val="24"/>
                <w:highlight w:val="none"/>
              </w:rPr>
            </w:pPr>
          </w:p>
        </w:tc>
        <w:tc>
          <w:tcPr>
            <w:tcW w:w="1980" w:type="dxa"/>
            <w:noWrap/>
          </w:tcPr>
          <w:p w14:paraId="4B65E6A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14:paraId="26677BA9">
            <w:pPr>
              <w:spacing w:line="360" w:lineRule="auto"/>
              <w:jc w:val="center"/>
              <w:rPr>
                <w:rFonts w:ascii="宋体" w:hAnsi="宋体" w:cs="宋体"/>
                <w:color w:val="auto"/>
                <w:sz w:val="24"/>
                <w:szCs w:val="24"/>
                <w:highlight w:val="none"/>
              </w:rPr>
            </w:pPr>
          </w:p>
        </w:tc>
      </w:tr>
      <w:tr w14:paraId="52F6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14:paraId="4F3E2E2D">
            <w:pPr>
              <w:spacing w:line="360" w:lineRule="auto"/>
              <w:jc w:val="center"/>
              <w:rPr>
                <w:rFonts w:ascii="宋体" w:hAnsi="宋体" w:cs="宋体"/>
                <w:color w:val="auto"/>
                <w:sz w:val="24"/>
                <w:szCs w:val="24"/>
                <w:highlight w:val="none"/>
              </w:rPr>
            </w:pPr>
          </w:p>
        </w:tc>
        <w:tc>
          <w:tcPr>
            <w:tcW w:w="1980" w:type="dxa"/>
            <w:noWrap/>
          </w:tcPr>
          <w:p w14:paraId="524733A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14:paraId="119383C3">
            <w:pPr>
              <w:spacing w:line="360" w:lineRule="auto"/>
              <w:jc w:val="center"/>
              <w:rPr>
                <w:rFonts w:ascii="宋体" w:hAnsi="宋体" w:cs="宋体"/>
                <w:color w:val="auto"/>
                <w:sz w:val="24"/>
                <w:szCs w:val="24"/>
                <w:highlight w:val="none"/>
              </w:rPr>
            </w:pPr>
          </w:p>
        </w:tc>
      </w:tr>
    </w:tbl>
    <w:p w14:paraId="6B356E2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注：每个工程一表</w:t>
      </w:r>
    </w:p>
    <w:p w14:paraId="4E9B3183">
      <w:pPr>
        <w:spacing w:line="360" w:lineRule="auto"/>
        <w:rPr>
          <w:rFonts w:ascii="宋体" w:hAnsi="宋体" w:cs="宋体"/>
          <w:color w:val="auto"/>
          <w:sz w:val="24"/>
          <w:szCs w:val="24"/>
          <w:highlight w:val="none"/>
        </w:rPr>
      </w:pPr>
    </w:p>
    <w:p w14:paraId="1790512A">
      <w:pPr>
        <w:spacing w:line="360" w:lineRule="auto"/>
        <w:rPr>
          <w:rFonts w:ascii="宋体" w:hAnsi="宋体" w:cs="宋体"/>
          <w:color w:val="auto"/>
          <w:sz w:val="24"/>
          <w:szCs w:val="24"/>
          <w:highlight w:val="none"/>
        </w:rPr>
      </w:pPr>
    </w:p>
    <w:p w14:paraId="67481562">
      <w:pPr>
        <w:spacing w:line="360" w:lineRule="auto"/>
        <w:rPr>
          <w:rFonts w:ascii="宋体" w:hAnsi="宋体" w:cs="宋体"/>
          <w:color w:val="auto"/>
          <w:sz w:val="24"/>
          <w:szCs w:val="24"/>
          <w:highlight w:val="none"/>
        </w:rPr>
      </w:pPr>
    </w:p>
    <w:p w14:paraId="4124A25F">
      <w:pPr>
        <w:spacing w:line="360" w:lineRule="auto"/>
        <w:rPr>
          <w:rFonts w:ascii="宋体" w:hAnsi="宋体" w:cs="宋体"/>
          <w:color w:val="auto"/>
          <w:sz w:val="24"/>
          <w:szCs w:val="24"/>
          <w:highlight w:val="none"/>
        </w:rPr>
      </w:pPr>
    </w:p>
    <w:p w14:paraId="0E46AD45">
      <w:pPr>
        <w:spacing w:line="360" w:lineRule="auto"/>
        <w:rPr>
          <w:rFonts w:ascii="宋体" w:hAnsi="宋体" w:cs="宋体"/>
          <w:color w:val="auto"/>
          <w:sz w:val="24"/>
          <w:szCs w:val="24"/>
          <w:highlight w:val="none"/>
        </w:rPr>
      </w:pPr>
    </w:p>
    <w:p w14:paraId="2CDB3587">
      <w:pPr>
        <w:spacing w:line="360" w:lineRule="auto"/>
        <w:rPr>
          <w:rFonts w:ascii="宋体" w:hAnsi="宋体" w:cs="宋体"/>
          <w:color w:val="auto"/>
          <w:sz w:val="24"/>
          <w:szCs w:val="24"/>
          <w:highlight w:val="none"/>
        </w:rPr>
      </w:pPr>
    </w:p>
    <w:p w14:paraId="79D768F3">
      <w:pPr>
        <w:spacing w:line="360" w:lineRule="auto"/>
        <w:rPr>
          <w:rFonts w:ascii="宋体" w:hAnsi="宋体" w:cs="宋体"/>
          <w:color w:val="auto"/>
          <w:sz w:val="24"/>
          <w:szCs w:val="24"/>
          <w:highlight w:val="none"/>
        </w:rPr>
      </w:pPr>
    </w:p>
    <w:p w14:paraId="75F81EB3">
      <w:pPr>
        <w:spacing w:line="360" w:lineRule="auto"/>
        <w:rPr>
          <w:rFonts w:ascii="宋体" w:hAnsi="宋体" w:cs="宋体"/>
          <w:color w:val="auto"/>
          <w:sz w:val="24"/>
          <w:szCs w:val="24"/>
          <w:highlight w:val="none"/>
        </w:rPr>
      </w:pPr>
    </w:p>
    <w:p w14:paraId="6DAB2B28">
      <w:pPr>
        <w:spacing w:line="360" w:lineRule="auto"/>
        <w:rPr>
          <w:rFonts w:ascii="宋体" w:hAnsi="宋体" w:cs="宋体"/>
          <w:color w:val="auto"/>
          <w:sz w:val="24"/>
          <w:szCs w:val="24"/>
          <w:highlight w:val="none"/>
        </w:rPr>
      </w:pPr>
    </w:p>
    <w:p w14:paraId="400FAFDE">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专业监理工程师已完成监理的工程一览表</w:t>
      </w:r>
    </w:p>
    <w:p w14:paraId="26588287">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4E32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405497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14:paraId="121A29DF">
            <w:pPr>
              <w:spacing w:line="360" w:lineRule="auto"/>
              <w:jc w:val="center"/>
              <w:rPr>
                <w:rFonts w:ascii="宋体" w:hAnsi="宋体" w:cs="宋体"/>
                <w:color w:val="auto"/>
                <w:sz w:val="24"/>
                <w:szCs w:val="24"/>
                <w:highlight w:val="none"/>
              </w:rPr>
            </w:pPr>
          </w:p>
        </w:tc>
      </w:tr>
      <w:tr w14:paraId="0449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7B94C71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14:paraId="2D64F29F">
            <w:pPr>
              <w:spacing w:line="360" w:lineRule="auto"/>
              <w:jc w:val="center"/>
              <w:rPr>
                <w:rFonts w:ascii="宋体" w:hAnsi="宋体" w:cs="宋体"/>
                <w:color w:val="auto"/>
                <w:sz w:val="24"/>
                <w:szCs w:val="24"/>
                <w:highlight w:val="none"/>
              </w:rPr>
            </w:pPr>
          </w:p>
        </w:tc>
      </w:tr>
      <w:tr w14:paraId="18B9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7E28EA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14:paraId="04AC853B">
            <w:pPr>
              <w:spacing w:line="360" w:lineRule="auto"/>
              <w:jc w:val="center"/>
              <w:rPr>
                <w:rFonts w:ascii="宋体" w:hAnsi="宋体" w:cs="宋体"/>
                <w:color w:val="auto"/>
                <w:sz w:val="24"/>
                <w:szCs w:val="24"/>
                <w:highlight w:val="none"/>
              </w:rPr>
            </w:pPr>
          </w:p>
        </w:tc>
      </w:tr>
      <w:tr w14:paraId="300A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49C9BC2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14:paraId="3F221451">
            <w:pPr>
              <w:spacing w:line="360" w:lineRule="auto"/>
              <w:jc w:val="center"/>
              <w:rPr>
                <w:rFonts w:ascii="宋体" w:hAnsi="宋体" w:cs="宋体"/>
                <w:color w:val="auto"/>
                <w:sz w:val="24"/>
                <w:szCs w:val="24"/>
                <w:highlight w:val="none"/>
              </w:rPr>
            </w:pPr>
          </w:p>
        </w:tc>
        <w:tc>
          <w:tcPr>
            <w:tcW w:w="1849" w:type="dxa"/>
            <w:noWrap/>
          </w:tcPr>
          <w:p w14:paraId="3E54B47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14:paraId="1CA84FB5">
            <w:pPr>
              <w:spacing w:line="360" w:lineRule="auto"/>
              <w:jc w:val="center"/>
              <w:rPr>
                <w:rFonts w:ascii="宋体" w:hAnsi="宋体" w:cs="宋体"/>
                <w:color w:val="auto"/>
                <w:sz w:val="24"/>
                <w:szCs w:val="24"/>
                <w:highlight w:val="none"/>
              </w:rPr>
            </w:pPr>
          </w:p>
        </w:tc>
      </w:tr>
      <w:tr w14:paraId="35AF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7907B49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2700" w:type="dxa"/>
            <w:noWrap/>
          </w:tcPr>
          <w:p w14:paraId="4DDC39CB">
            <w:pPr>
              <w:spacing w:line="360" w:lineRule="auto"/>
              <w:jc w:val="center"/>
              <w:rPr>
                <w:rFonts w:ascii="宋体" w:hAnsi="宋体" w:cs="宋体"/>
                <w:color w:val="auto"/>
                <w:sz w:val="24"/>
                <w:szCs w:val="24"/>
                <w:highlight w:val="none"/>
              </w:rPr>
            </w:pPr>
          </w:p>
        </w:tc>
        <w:tc>
          <w:tcPr>
            <w:tcW w:w="1849" w:type="dxa"/>
            <w:noWrap/>
          </w:tcPr>
          <w:p w14:paraId="6495E01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预计完工时间</w:t>
            </w:r>
          </w:p>
        </w:tc>
        <w:tc>
          <w:tcPr>
            <w:tcW w:w="2011" w:type="dxa"/>
            <w:noWrap/>
          </w:tcPr>
          <w:p w14:paraId="3838D583">
            <w:pPr>
              <w:spacing w:line="360" w:lineRule="auto"/>
              <w:jc w:val="center"/>
              <w:rPr>
                <w:rFonts w:ascii="宋体" w:hAnsi="宋体" w:cs="宋体"/>
                <w:color w:val="auto"/>
                <w:sz w:val="24"/>
                <w:szCs w:val="24"/>
                <w:highlight w:val="none"/>
              </w:rPr>
            </w:pPr>
          </w:p>
        </w:tc>
      </w:tr>
      <w:tr w14:paraId="3520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193D410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2700" w:type="dxa"/>
            <w:noWrap/>
          </w:tcPr>
          <w:p w14:paraId="21392B77">
            <w:pPr>
              <w:spacing w:line="360" w:lineRule="auto"/>
              <w:jc w:val="center"/>
              <w:rPr>
                <w:rFonts w:ascii="宋体" w:hAnsi="宋体" w:cs="宋体"/>
                <w:color w:val="auto"/>
                <w:sz w:val="24"/>
                <w:szCs w:val="24"/>
                <w:highlight w:val="none"/>
              </w:rPr>
            </w:pPr>
          </w:p>
        </w:tc>
        <w:tc>
          <w:tcPr>
            <w:tcW w:w="1849" w:type="dxa"/>
            <w:noWrap/>
          </w:tcPr>
          <w:p w14:paraId="4B2F1AA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14:paraId="1282A803">
            <w:pPr>
              <w:spacing w:line="360" w:lineRule="auto"/>
              <w:jc w:val="center"/>
              <w:rPr>
                <w:rFonts w:ascii="宋体" w:hAnsi="宋体" w:cs="宋体"/>
                <w:color w:val="auto"/>
                <w:sz w:val="24"/>
                <w:szCs w:val="24"/>
                <w:highlight w:val="none"/>
              </w:rPr>
            </w:pPr>
          </w:p>
        </w:tc>
      </w:tr>
      <w:tr w14:paraId="2374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14:paraId="44D06DF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14:paraId="7B75419B">
            <w:pPr>
              <w:spacing w:line="360" w:lineRule="auto"/>
              <w:rPr>
                <w:rFonts w:ascii="宋体" w:hAnsi="宋体" w:cs="宋体"/>
                <w:color w:val="auto"/>
                <w:sz w:val="24"/>
                <w:szCs w:val="24"/>
                <w:highlight w:val="none"/>
              </w:rPr>
            </w:pPr>
          </w:p>
          <w:p w14:paraId="1FE096FD">
            <w:pPr>
              <w:spacing w:line="360" w:lineRule="auto"/>
              <w:rPr>
                <w:rFonts w:ascii="宋体" w:hAnsi="宋体" w:cs="宋体"/>
                <w:color w:val="auto"/>
                <w:sz w:val="24"/>
                <w:szCs w:val="24"/>
                <w:highlight w:val="none"/>
              </w:rPr>
            </w:pPr>
          </w:p>
          <w:p w14:paraId="33789B70">
            <w:pPr>
              <w:spacing w:line="360" w:lineRule="auto"/>
              <w:rPr>
                <w:rFonts w:ascii="宋体" w:hAnsi="宋体" w:cs="宋体"/>
                <w:color w:val="auto"/>
                <w:sz w:val="24"/>
                <w:szCs w:val="24"/>
                <w:highlight w:val="none"/>
              </w:rPr>
            </w:pPr>
          </w:p>
          <w:p w14:paraId="08FA30C7">
            <w:pPr>
              <w:spacing w:line="360" w:lineRule="auto"/>
              <w:rPr>
                <w:rFonts w:ascii="宋体" w:hAnsi="宋体" w:cs="宋体"/>
                <w:color w:val="auto"/>
                <w:sz w:val="24"/>
                <w:szCs w:val="24"/>
                <w:highlight w:val="none"/>
              </w:rPr>
            </w:pPr>
          </w:p>
          <w:p w14:paraId="1D6A5471">
            <w:pPr>
              <w:spacing w:line="360" w:lineRule="auto"/>
              <w:rPr>
                <w:rFonts w:ascii="宋体" w:hAnsi="宋体" w:cs="宋体"/>
                <w:color w:val="auto"/>
                <w:sz w:val="24"/>
                <w:szCs w:val="24"/>
                <w:highlight w:val="none"/>
              </w:rPr>
            </w:pPr>
          </w:p>
        </w:tc>
      </w:tr>
      <w:tr w14:paraId="5B97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3E85492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14:paraId="2A21CDEE">
            <w:pPr>
              <w:spacing w:line="360" w:lineRule="auto"/>
              <w:jc w:val="center"/>
              <w:rPr>
                <w:rFonts w:ascii="宋体" w:hAnsi="宋体" w:cs="宋体"/>
                <w:color w:val="auto"/>
                <w:sz w:val="24"/>
                <w:szCs w:val="24"/>
                <w:highlight w:val="none"/>
              </w:rPr>
            </w:pPr>
          </w:p>
        </w:tc>
      </w:tr>
      <w:tr w14:paraId="2F88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14:paraId="20A04A5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14:paraId="0D0084D5">
            <w:pPr>
              <w:spacing w:line="360" w:lineRule="auto"/>
              <w:jc w:val="center"/>
              <w:rPr>
                <w:rFonts w:ascii="宋体" w:hAnsi="宋体" w:cs="宋体"/>
                <w:color w:val="auto"/>
                <w:sz w:val="24"/>
                <w:szCs w:val="24"/>
                <w:highlight w:val="none"/>
              </w:rPr>
            </w:pPr>
          </w:p>
        </w:tc>
      </w:tr>
      <w:tr w14:paraId="7B79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14:paraId="69E0D69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14:paraId="12E50E8D">
            <w:pPr>
              <w:spacing w:line="360" w:lineRule="auto"/>
              <w:jc w:val="center"/>
              <w:rPr>
                <w:rFonts w:ascii="宋体" w:hAnsi="宋体" w:cs="宋体"/>
                <w:color w:val="auto"/>
                <w:sz w:val="24"/>
                <w:szCs w:val="24"/>
                <w:highlight w:val="none"/>
              </w:rPr>
            </w:pPr>
          </w:p>
          <w:p w14:paraId="53886F75">
            <w:pPr>
              <w:spacing w:line="360" w:lineRule="auto"/>
              <w:jc w:val="center"/>
              <w:rPr>
                <w:rFonts w:ascii="宋体" w:hAnsi="宋体" w:cs="宋体"/>
                <w:color w:val="auto"/>
                <w:sz w:val="24"/>
                <w:szCs w:val="24"/>
                <w:highlight w:val="none"/>
              </w:rPr>
            </w:pPr>
          </w:p>
          <w:p w14:paraId="6D3CA62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14:paraId="7EDAA96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14:paraId="344B77C8">
            <w:pPr>
              <w:spacing w:line="360" w:lineRule="auto"/>
              <w:jc w:val="center"/>
              <w:rPr>
                <w:rFonts w:ascii="宋体" w:hAnsi="宋体" w:cs="宋体"/>
                <w:color w:val="auto"/>
                <w:sz w:val="24"/>
                <w:szCs w:val="24"/>
                <w:highlight w:val="none"/>
              </w:rPr>
            </w:pPr>
          </w:p>
        </w:tc>
      </w:tr>
      <w:tr w14:paraId="5F16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4F505066">
            <w:pPr>
              <w:spacing w:line="360" w:lineRule="auto"/>
              <w:jc w:val="center"/>
              <w:rPr>
                <w:rFonts w:ascii="宋体" w:hAnsi="宋体" w:cs="宋体"/>
                <w:color w:val="auto"/>
                <w:sz w:val="24"/>
                <w:szCs w:val="24"/>
                <w:highlight w:val="none"/>
              </w:rPr>
            </w:pPr>
          </w:p>
        </w:tc>
        <w:tc>
          <w:tcPr>
            <w:tcW w:w="1980" w:type="dxa"/>
            <w:noWrap/>
          </w:tcPr>
          <w:p w14:paraId="1DF26A3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14:paraId="77919619">
            <w:pPr>
              <w:spacing w:line="360" w:lineRule="auto"/>
              <w:jc w:val="center"/>
              <w:rPr>
                <w:rFonts w:ascii="宋体" w:hAnsi="宋体" w:cs="宋体"/>
                <w:color w:val="auto"/>
                <w:sz w:val="24"/>
                <w:szCs w:val="24"/>
                <w:highlight w:val="none"/>
              </w:rPr>
            </w:pPr>
          </w:p>
        </w:tc>
      </w:tr>
      <w:tr w14:paraId="0945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24E89B71">
            <w:pPr>
              <w:spacing w:line="360" w:lineRule="auto"/>
              <w:jc w:val="center"/>
              <w:rPr>
                <w:rFonts w:ascii="宋体" w:hAnsi="宋体" w:cs="宋体"/>
                <w:color w:val="auto"/>
                <w:sz w:val="24"/>
                <w:szCs w:val="24"/>
                <w:highlight w:val="none"/>
              </w:rPr>
            </w:pPr>
          </w:p>
        </w:tc>
        <w:tc>
          <w:tcPr>
            <w:tcW w:w="1980" w:type="dxa"/>
            <w:noWrap/>
          </w:tcPr>
          <w:p w14:paraId="4C0CFE2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14:paraId="5B963D1A">
            <w:pPr>
              <w:spacing w:line="360" w:lineRule="auto"/>
              <w:jc w:val="center"/>
              <w:rPr>
                <w:rFonts w:ascii="宋体" w:hAnsi="宋体" w:cs="宋体"/>
                <w:color w:val="auto"/>
                <w:sz w:val="24"/>
                <w:szCs w:val="24"/>
                <w:highlight w:val="none"/>
              </w:rPr>
            </w:pPr>
          </w:p>
        </w:tc>
      </w:tr>
      <w:tr w14:paraId="3581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14:paraId="165B4273">
            <w:pPr>
              <w:spacing w:line="360" w:lineRule="auto"/>
              <w:jc w:val="center"/>
              <w:rPr>
                <w:rFonts w:ascii="宋体" w:hAnsi="宋体" w:cs="宋体"/>
                <w:color w:val="auto"/>
                <w:sz w:val="24"/>
                <w:szCs w:val="24"/>
                <w:highlight w:val="none"/>
              </w:rPr>
            </w:pPr>
          </w:p>
        </w:tc>
        <w:tc>
          <w:tcPr>
            <w:tcW w:w="1980" w:type="dxa"/>
            <w:noWrap/>
          </w:tcPr>
          <w:p w14:paraId="2B2E83B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14:paraId="6A01AC5C">
            <w:pPr>
              <w:spacing w:line="360" w:lineRule="auto"/>
              <w:jc w:val="center"/>
              <w:rPr>
                <w:rFonts w:ascii="宋体" w:hAnsi="宋体" w:cs="宋体"/>
                <w:color w:val="auto"/>
                <w:sz w:val="24"/>
                <w:szCs w:val="24"/>
                <w:highlight w:val="none"/>
              </w:rPr>
            </w:pPr>
          </w:p>
        </w:tc>
      </w:tr>
      <w:tr w14:paraId="3834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14:paraId="3B0F5DDA">
            <w:pPr>
              <w:spacing w:line="360" w:lineRule="auto"/>
              <w:jc w:val="center"/>
              <w:rPr>
                <w:rFonts w:ascii="宋体" w:hAnsi="宋体" w:cs="宋体"/>
                <w:color w:val="auto"/>
                <w:sz w:val="24"/>
                <w:szCs w:val="24"/>
                <w:highlight w:val="none"/>
              </w:rPr>
            </w:pPr>
          </w:p>
        </w:tc>
        <w:tc>
          <w:tcPr>
            <w:tcW w:w="1980" w:type="dxa"/>
            <w:noWrap/>
          </w:tcPr>
          <w:p w14:paraId="1E2921A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14:paraId="6A7AA2AA">
            <w:pPr>
              <w:spacing w:line="360" w:lineRule="auto"/>
              <w:jc w:val="center"/>
              <w:rPr>
                <w:rFonts w:ascii="宋体" w:hAnsi="宋体" w:cs="宋体"/>
                <w:color w:val="auto"/>
                <w:sz w:val="24"/>
                <w:szCs w:val="24"/>
                <w:highlight w:val="none"/>
              </w:rPr>
            </w:pPr>
          </w:p>
        </w:tc>
      </w:tr>
    </w:tbl>
    <w:p w14:paraId="46E601A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注：每个工程一表</w:t>
      </w:r>
    </w:p>
    <w:p w14:paraId="2E79DBB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6B881D68">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投入此次招标工程检测仪器、设备汇总表</w:t>
      </w:r>
    </w:p>
    <w:p w14:paraId="4836817C">
      <w:pPr>
        <w:spacing w:line="360" w:lineRule="auto"/>
        <w:jc w:val="center"/>
        <w:rPr>
          <w:rFonts w:ascii="宋体" w:hAnsi="宋体" w:cs="宋体"/>
          <w:b/>
          <w:color w:val="auto"/>
          <w:sz w:val="24"/>
          <w:szCs w:val="24"/>
          <w:highlight w:val="none"/>
        </w:rPr>
      </w:pPr>
    </w:p>
    <w:p w14:paraId="0EE5CD96">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工程名称：</w:t>
      </w:r>
    </w:p>
    <w:tbl>
      <w:tblPr>
        <w:tblStyle w:val="23"/>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893"/>
        <w:gridCol w:w="983"/>
        <w:gridCol w:w="1340"/>
        <w:gridCol w:w="1451"/>
        <w:gridCol w:w="1562"/>
      </w:tblGrid>
      <w:tr w14:paraId="66E9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bottom w:val="single" w:color="auto" w:sz="12" w:space="0"/>
            </w:tcBorders>
            <w:noWrap/>
            <w:vAlign w:val="center"/>
          </w:tcPr>
          <w:p w14:paraId="2D1971E0">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980" w:type="dxa"/>
            <w:tcBorders>
              <w:top w:val="single" w:color="auto" w:sz="12" w:space="0"/>
              <w:bottom w:val="single" w:color="auto" w:sz="12" w:space="0"/>
            </w:tcBorders>
            <w:noWrap/>
            <w:vAlign w:val="center"/>
          </w:tcPr>
          <w:p w14:paraId="00BE1826">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仪器、设备名称</w:t>
            </w:r>
          </w:p>
        </w:tc>
        <w:tc>
          <w:tcPr>
            <w:tcW w:w="1893" w:type="dxa"/>
            <w:tcBorders>
              <w:top w:val="single" w:color="auto" w:sz="12" w:space="0"/>
              <w:bottom w:val="single" w:color="auto" w:sz="12" w:space="0"/>
            </w:tcBorders>
            <w:noWrap/>
            <w:vAlign w:val="center"/>
          </w:tcPr>
          <w:p w14:paraId="01BEFC91">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规 格 型 号</w:t>
            </w:r>
          </w:p>
        </w:tc>
        <w:tc>
          <w:tcPr>
            <w:tcW w:w="983" w:type="dxa"/>
            <w:tcBorders>
              <w:top w:val="single" w:color="auto" w:sz="12" w:space="0"/>
              <w:bottom w:val="single" w:color="auto" w:sz="12" w:space="0"/>
            </w:tcBorders>
            <w:noWrap/>
            <w:vAlign w:val="center"/>
          </w:tcPr>
          <w:p w14:paraId="6EFAAD00">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1340" w:type="dxa"/>
            <w:tcBorders>
              <w:top w:val="single" w:color="auto" w:sz="12" w:space="0"/>
              <w:bottom w:val="single" w:color="auto" w:sz="12" w:space="0"/>
            </w:tcBorders>
            <w:noWrap/>
            <w:vAlign w:val="center"/>
          </w:tcPr>
          <w:p w14:paraId="0E6CC15E">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使用情况</w:t>
            </w:r>
          </w:p>
        </w:tc>
        <w:tc>
          <w:tcPr>
            <w:tcW w:w="1451" w:type="dxa"/>
            <w:tcBorders>
              <w:top w:val="single" w:color="auto" w:sz="12" w:space="0"/>
              <w:bottom w:val="single" w:color="auto" w:sz="12" w:space="0"/>
            </w:tcBorders>
            <w:noWrap/>
            <w:vAlign w:val="center"/>
          </w:tcPr>
          <w:p w14:paraId="716128B8">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投入时间</w:t>
            </w:r>
          </w:p>
        </w:tc>
        <w:tc>
          <w:tcPr>
            <w:tcW w:w="1562" w:type="dxa"/>
            <w:tcBorders>
              <w:top w:val="single" w:color="auto" w:sz="12" w:space="0"/>
              <w:bottom w:val="single" w:color="auto" w:sz="12" w:space="0"/>
              <w:right w:val="single" w:color="auto" w:sz="12" w:space="0"/>
            </w:tcBorders>
            <w:noWrap/>
            <w:vAlign w:val="center"/>
          </w:tcPr>
          <w:p w14:paraId="348D4BB1">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 备  注 </w:t>
            </w:r>
          </w:p>
        </w:tc>
      </w:tr>
      <w:tr w14:paraId="632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tcBorders>
            <w:noWrap/>
            <w:vAlign w:val="center"/>
          </w:tcPr>
          <w:p w14:paraId="17FAE841">
            <w:pPr>
              <w:spacing w:line="360" w:lineRule="auto"/>
              <w:jc w:val="left"/>
              <w:rPr>
                <w:rFonts w:ascii="宋体" w:hAnsi="宋体" w:cs="宋体"/>
                <w:color w:val="auto"/>
                <w:sz w:val="24"/>
                <w:szCs w:val="24"/>
                <w:highlight w:val="none"/>
              </w:rPr>
            </w:pPr>
          </w:p>
        </w:tc>
        <w:tc>
          <w:tcPr>
            <w:tcW w:w="1980" w:type="dxa"/>
            <w:tcBorders>
              <w:top w:val="single" w:color="auto" w:sz="12" w:space="0"/>
            </w:tcBorders>
            <w:noWrap/>
            <w:vAlign w:val="center"/>
          </w:tcPr>
          <w:p w14:paraId="7DC2146A">
            <w:pPr>
              <w:spacing w:line="360" w:lineRule="auto"/>
              <w:jc w:val="left"/>
              <w:rPr>
                <w:rFonts w:ascii="宋体" w:hAnsi="宋体" w:cs="宋体"/>
                <w:color w:val="auto"/>
                <w:sz w:val="24"/>
                <w:szCs w:val="24"/>
                <w:highlight w:val="none"/>
              </w:rPr>
            </w:pPr>
          </w:p>
        </w:tc>
        <w:tc>
          <w:tcPr>
            <w:tcW w:w="1893" w:type="dxa"/>
            <w:tcBorders>
              <w:top w:val="single" w:color="auto" w:sz="12" w:space="0"/>
            </w:tcBorders>
            <w:noWrap/>
            <w:vAlign w:val="center"/>
          </w:tcPr>
          <w:p w14:paraId="1669A24A">
            <w:pPr>
              <w:spacing w:line="360" w:lineRule="auto"/>
              <w:jc w:val="left"/>
              <w:rPr>
                <w:rFonts w:ascii="宋体" w:hAnsi="宋体" w:cs="宋体"/>
                <w:color w:val="auto"/>
                <w:sz w:val="24"/>
                <w:szCs w:val="24"/>
                <w:highlight w:val="none"/>
              </w:rPr>
            </w:pPr>
          </w:p>
        </w:tc>
        <w:tc>
          <w:tcPr>
            <w:tcW w:w="983" w:type="dxa"/>
            <w:tcBorders>
              <w:top w:val="single" w:color="auto" w:sz="12" w:space="0"/>
            </w:tcBorders>
            <w:noWrap/>
            <w:vAlign w:val="center"/>
          </w:tcPr>
          <w:p w14:paraId="689FC6CC">
            <w:pPr>
              <w:spacing w:line="360" w:lineRule="auto"/>
              <w:jc w:val="left"/>
              <w:rPr>
                <w:rFonts w:ascii="宋体" w:hAnsi="宋体" w:cs="宋体"/>
                <w:color w:val="auto"/>
                <w:sz w:val="24"/>
                <w:szCs w:val="24"/>
                <w:highlight w:val="none"/>
              </w:rPr>
            </w:pPr>
          </w:p>
        </w:tc>
        <w:tc>
          <w:tcPr>
            <w:tcW w:w="1340" w:type="dxa"/>
            <w:tcBorders>
              <w:top w:val="single" w:color="auto" w:sz="12" w:space="0"/>
            </w:tcBorders>
            <w:noWrap/>
            <w:vAlign w:val="center"/>
          </w:tcPr>
          <w:p w14:paraId="46CE4BF1">
            <w:pPr>
              <w:spacing w:line="360" w:lineRule="auto"/>
              <w:jc w:val="left"/>
              <w:rPr>
                <w:rFonts w:ascii="宋体" w:hAnsi="宋体" w:cs="宋体"/>
                <w:color w:val="auto"/>
                <w:sz w:val="24"/>
                <w:szCs w:val="24"/>
                <w:highlight w:val="none"/>
              </w:rPr>
            </w:pPr>
          </w:p>
        </w:tc>
        <w:tc>
          <w:tcPr>
            <w:tcW w:w="1451" w:type="dxa"/>
            <w:tcBorders>
              <w:top w:val="single" w:color="auto" w:sz="12" w:space="0"/>
            </w:tcBorders>
            <w:noWrap/>
            <w:vAlign w:val="center"/>
          </w:tcPr>
          <w:p w14:paraId="648ED94D">
            <w:pPr>
              <w:spacing w:line="360" w:lineRule="auto"/>
              <w:jc w:val="left"/>
              <w:rPr>
                <w:rFonts w:ascii="宋体" w:hAnsi="宋体" w:cs="宋体"/>
                <w:color w:val="auto"/>
                <w:sz w:val="24"/>
                <w:szCs w:val="24"/>
                <w:highlight w:val="none"/>
              </w:rPr>
            </w:pPr>
          </w:p>
        </w:tc>
        <w:tc>
          <w:tcPr>
            <w:tcW w:w="1562" w:type="dxa"/>
            <w:tcBorders>
              <w:top w:val="single" w:color="auto" w:sz="12" w:space="0"/>
              <w:right w:val="single" w:color="auto" w:sz="12" w:space="0"/>
            </w:tcBorders>
            <w:noWrap/>
            <w:vAlign w:val="center"/>
          </w:tcPr>
          <w:p w14:paraId="5879B1E9">
            <w:pPr>
              <w:spacing w:line="360" w:lineRule="auto"/>
              <w:jc w:val="left"/>
              <w:rPr>
                <w:rFonts w:ascii="宋体" w:hAnsi="宋体" w:cs="宋体"/>
                <w:color w:val="auto"/>
                <w:sz w:val="24"/>
                <w:szCs w:val="24"/>
                <w:highlight w:val="none"/>
              </w:rPr>
            </w:pPr>
          </w:p>
        </w:tc>
      </w:tr>
      <w:tr w14:paraId="79FB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5433F161">
            <w:pPr>
              <w:spacing w:line="360" w:lineRule="auto"/>
              <w:jc w:val="left"/>
              <w:rPr>
                <w:rFonts w:ascii="宋体" w:hAnsi="宋体" w:cs="宋体"/>
                <w:color w:val="auto"/>
                <w:sz w:val="24"/>
                <w:szCs w:val="24"/>
                <w:highlight w:val="none"/>
              </w:rPr>
            </w:pPr>
          </w:p>
        </w:tc>
        <w:tc>
          <w:tcPr>
            <w:tcW w:w="1980" w:type="dxa"/>
            <w:noWrap/>
            <w:vAlign w:val="center"/>
          </w:tcPr>
          <w:p w14:paraId="04CFF211">
            <w:pPr>
              <w:spacing w:line="360" w:lineRule="auto"/>
              <w:jc w:val="left"/>
              <w:rPr>
                <w:rFonts w:ascii="宋体" w:hAnsi="宋体" w:cs="宋体"/>
                <w:color w:val="auto"/>
                <w:sz w:val="24"/>
                <w:szCs w:val="24"/>
                <w:highlight w:val="none"/>
              </w:rPr>
            </w:pPr>
          </w:p>
        </w:tc>
        <w:tc>
          <w:tcPr>
            <w:tcW w:w="1893" w:type="dxa"/>
            <w:noWrap/>
            <w:vAlign w:val="center"/>
          </w:tcPr>
          <w:p w14:paraId="373AD90F">
            <w:pPr>
              <w:spacing w:line="360" w:lineRule="auto"/>
              <w:jc w:val="left"/>
              <w:rPr>
                <w:rFonts w:ascii="宋体" w:hAnsi="宋体" w:cs="宋体"/>
                <w:color w:val="auto"/>
                <w:sz w:val="24"/>
                <w:szCs w:val="24"/>
                <w:highlight w:val="none"/>
              </w:rPr>
            </w:pPr>
          </w:p>
        </w:tc>
        <w:tc>
          <w:tcPr>
            <w:tcW w:w="983" w:type="dxa"/>
            <w:noWrap/>
            <w:vAlign w:val="center"/>
          </w:tcPr>
          <w:p w14:paraId="59A7AD74">
            <w:pPr>
              <w:spacing w:line="360" w:lineRule="auto"/>
              <w:jc w:val="left"/>
              <w:rPr>
                <w:rFonts w:ascii="宋体" w:hAnsi="宋体" w:cs="宋体"/>
                <w:color w:val="auto"/>
                <w:sz w:val="24"/>
                <w:szCs w:val="24"/>
                <w:highlight w:val="none"/>
              </w:rPr>
            </w:pPr>
          </w:p>
        </w:tc>
        <w:tc>
          <w:tcPr>
            <w:tcW w:w="1340" w:type="dxa"/>
            <w:noWrap/>
            <w:vAlign w:val="center"/>
          </w:tcPr>
          <w:p w14:paraId="1A520AF7">
            <w:pPr>
              <w:spacing w:line="360" w:lineRule="auto"/>
              <w:jc w:val="left"/>
              <w:rPr>
                <w:rFonts w:ascii="宋体" w:hAnsi="宋体" w:cs="宋体"/>
                <w:color w:val="auto"/>
                <w:sz w:val="24"/>
                <w:szCs w:val="24"/>
                <w:highlight w:val="none"/>
              </w:rPr>
            </w:pPr>
          </w:p>
        </w:tc>
        <w:tc>
          <w:tcPr>
            <w:tcW w:w="1451" w:type="dxa"/>
            <w:noWrap/>
            <w:vAlign w:val="center"/>
          </w:tcPr>
          <w:p w14:paraId="425F6901">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7940C564">
            <w:pPr>
              <w:spacing w:line="360" w:lineRule="auto"/>
              <w:jc w:val="left"/>
              <w:rPr>
                <w:rFonts w:ascii="宋体" w:hAnsi="宋体" w:cs="宋体"/>
                <w:color w:val="auto"/>
                <w:sz w:val="24"/>
                <w:szCs w:val="24"/>
                <w:highlight w:val="none"/>
              </w:rPr>
            </w:pPr>
          </w:p>
        </w:tc>
      </w:tr>
      <w:tr w14:paraId="3FEB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321CF49B">
            <w:pPr>
              <w:spacing w:line="360" w:lineRule="auto"/>
              <w:jc w:val="left"/>
              <w:rPr>
                <w:rFonts w:ascii="宋体" w:hAnsi="宋体" w:cs="宋体"/>
                <w:color w:val="auto"/>
                <w:sz w:val="24"/>
                <w:szCs w:val="24"/>
                <w:highlight w:val="none"/>
              </w:rPr>
            </w:pPr>
          </w:p>
        </w:tc>
        <w:tc>
          <w:tcPr>
            <w:tcW w:w="1980" w:type="dxa"/>
            <w:noWrap/>
            <w:vAlign w:val="center"/>
          </w:tcPr>
          <w:p w14:paraId="3AC5995C">
            <w:pPr>
              <w:spacing w:line="360" w:lineRule="auto"/>
              <w:jc w:val="left"/>
              <w:rPr>
                <w:rFonts w:ascii="宋体" w:hAnsi="宋体" w:cs="宋体"/>
                <w:color w:val="auto"/>
                <w:sz w:val="24"/>
                <w:szCs w:val="24"/>
                <w:highlight w:val="none"/>
              </w:rPr>
            </w:pPr>
          </w:p>
        </w:tc>
        <w:tc>
          <w:tcPr>
            <w:tcW w:w="1893" w:type="dxa"/>
            <w:noWrap/>
            <w:vAlign w:val="center"/>
          </w:tcPr>
          <w:p w14:paraId="354C529F">
            <w:pPr>
              <w:spacing w:line="360" w:lineRule="auto"/>
              <w:jc w:val="left"/>
              <w:rPr>
                <w:rFonts w:ascii="宋体" w:hAnsi="宋体" w:cs="宋体"/>
                <w:color w:val="auto"/>
                <w:sz w:val="24"/>
                <w:szCs w:val="24"/>
                <w:highlight w:val="none"/>
              </w:rPr>
            </w:pPr>
          </w:p>
        </w:tc>
        <w:tc>
          <w:tcPr>
            <w:tcW w:w="983" w:type="dxa"/>
            <w:noWrap/>
            <w:vAlign w:val="center"/>
          </w:tcPr>
          <w:p w14:paraId="61CFF056">
            <w:pPr>
              <w:spacing w:line="360" w:lineRule="auto"/>
              <w:jc w:val="left"/>
              <w:rPr>
                <w:rFonts w:ascii="宋体" w:hAnsi="宋体" w:cs="宋体"/>
                <w:color w:val="auto"/>
                <w:sz w:val="24"/>
                <w:szCs w:val="24"/>
                <w:highlight w:val="none"/>
              </w:rPr>
            </w:pPr>
          </w:p>
        </w:tc>
        <w:tc>
          <w:tcPr>
            <w:tcW w:w="1340" w:type="dxa"/>
            <w:noWrap/>
            <w:vAlign w:val="center"/>
          </w:tcPr>
          <w:p w14:paraId="21E2A32F">
            <w:pPr>
              <w:spacing w:line="360" w:lineRule="auto"/>
              <w:jc w:val="left"/>
              <w:rPr>
                <w:rFonts w:ascii="宋体" w:hAnsi="宋体" w:cs="宋体"/>
                <w:color w:val="auto"/>
                <w:sz w:val="24"/>
                <w:szCs w:val="24"/>
                <w:highlight w:val="none"/>
              </w:rPr>
            </w:pPr>
          </w:p>
        </w:tc>
        <w:tc>
          <w:tcPr>
            <w:tcW w:w="1451" w:type="dxa"/>
            <w:noWrap/>
            <w:vAlign w:val="center"/>
          </w:tcPr>
          <w:p w14:paraId="7AEBB342">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72D97D47">
            <w:pPr>
              <w:spacing w:line="360" w:lineRule="auto"/>
              <w:jc w:val="left"/>
              <w:rPr>
                <w:rFonts w:ascii="宋体" w:hAnsi="宋体" w:cs="宋体"/>
                <w:color w:val="auto"/>
                <w:sz w:val="24"/>
                <w:szCs w:val="24"/>
                <w:highlight w:val="none"/>
              </w:rPr>
            </w:pPr>
          </w:p>
        </w:tc>
      </w:tr>
      <w:tr w14:paraId="0FC3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0EA3E8EE">
            <w:pPr>
              <w:spacing w:line="360" w:lineRule="auto"/>
              <w:jc w:val="left"/>
              <w:rPr>
                <w:rFonts w:ascii="宋体" w:hAnsi="宋体" w:cs="宋体"/>
                <w:color w:val="auto"/>
                <w:sz w:val="24"/>
                <w:szCs w:val="24"/>
                <w:highlight w:val="none"/>
              </w:rPr>
            </w:pPr>
          </w:p>
        </w:tc>
        <w:tc>
          <w:tcPr>
            <w:tcW w:w="1980" w:type="dxa"/>
            <w:noWrap/>
            <w:vAlign w:val="center"/>
          </w:tcPr>
          <w:p w14:paraId="6989B7F7">
            <w:pPr>
              <w:spacing w:line="360" w:lineRule="auto"/>
              <w:jc w:val="left"/>
              <w:rPr>
                <w:rFonts w:ascii="宋体" w:hAnsi="宋体" w:cs="宋体"/>
                <w:color w:val="auto"/>
                <w:sz w:val="24"/>
                <w:szCs w:val="24"/>
                <w:highlight w:val="none"/>
              </w:rPr>
            </w:pPr>
          </w:p>
        </w:tc>
        <w:tc>
          <w:tcPr>
            <w:tcW w:w="1893" w:type="dxa"/>
            <w:noWrap/>
            <w:vAlign w:val="center"/>
          </w:tcPr>
          <w:p w14:paraId="19EC259A">
            <w:pPr>
              <w:spacing w:line="360" w:lineRule="auto"/>
              <w:jc w:val="left"/>
              <w:rPr>
                <w:rFonts w:ascii="宋体" w:hAnsi="宋体" w:cs="宋体"/>
                <w:color w:val="auto"/>
                <w:sz w:val="24"/>
                <w:szCs w:val="24"/>
                <w:highlight w:val="none"/>
              </w:rPr>
            </w:pPr>
          </w:p>
        </w:tc>
        <w:tc>
          <w:tcPr>
            <w:tcW w:w="983" w:type="dxa"/>
            <w:noWrap/>
            <w:vAlign w:val="center"/>
          </w:tcPr>
          <w:p w14:paraId="6DDC7A35">
            <w:pPr>
              <w:spacing w:line="360" w:lineRule="auto"/>
              <w:jc w:val="left"/>
              <w:rPr>
                <w:rFonts w:ascii="宋体" w:hAnsi="宋体" w:cs="宋体"/>
                <w:color w:val="auto"/>
                <w:sz w:val="24"/>
                <w:szCs w:val="24"/>
                <w:highlight w:val="none"/>
              </w:rPr>
            </w:pPr>
          </w:p>
        </w:tc>
        <w:tc>
          <w:tcPr>
            <w:tcW w:w="1340" w:type="dxa"/>
            <w:noWrap/>
            <w:vAlign w:val="center"/>
          </w:tcPr>
          <w:p w14:paraId="3BD9AE07">
            <w:pPr>
              <w:spacing w:line="360" w:lineRule="auto"/>
              <w:jc w:val="left"/>
              <w:rPr>
                <w:rFonts w:ascii="宋体" w:hAnsi="宋体" w:cs="宋体"/>
                <w:color w:val="auto"/>
                <w:sz w:val="24"/>
                <w:szCs w:val="24"/>
                <w:highlight w:val="none"/>
              </w:rPr>
            </w:pPr>
          </w:p>
        </w:tc>
        <w:tc>
          <w:tcPr>
            <w:tcW w:w="1451" w:type="dxa"/>
            <w:noWrap/>
            <w:vAlign w:val="center"/>
          </w:tcPr>
          <w:p w14:paraId="4A252894">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6C0FEF13">
            <w:pPr>
              <w:spacing w:line="360" w:lineRule="auto"/>
              <w:jc w:val="left"/>
              <w:rPr>
                <w:rFonts w:ascii="宋体" w:hAnsi="宋体" w:cs="宋体"/>
                <w:color w:val="auto"/>
                <w:sz w:val="24"/>
                <w:szCs w:val="24"/>
                <w:highlight w:val="none"/>
              </w:rPr>
            </w:pPr>
          </w:p>
        </w:tc>
      </w:tr>
      <w:tr w14:paraId="5BB5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6AC75D3B">
            <w:pPr>
              <w:spacing w:line="360" w:lineRule="auto"/>
              <w:jc w:val="left"/>
              <w:rPr>
                <w:rFonts w:ascii="宋体" w:hAnsi="宋体" w:cs="宋体"/>
                <w:color w:val="auto"/>
                <w:sz w:val="24"/>
                <w:szCs w:val="24"/>
                <w:highlight w:val="none"/>
              </w:rPr>
            </w:pPr>
          </w:p>
        </w:tc>
        <w:tc>
          <w:tcPr>
            <w:tcW w:w="1980" w:type="dxa"/>
            <w:noWrap/>
            <w:vAlign w:val="center"/>
          </w:tcPr>
          <w:p w14:paraId="540DBD88">
            <w:pPr>
              <w:spacing w:line="360" w:lineRule="auto"/>
              <w:jc w:val="left"/>
              <w:rPr>
                <w:rFonts w:ascii="宋体" w:hAnsi="宋体" w:cs="宋体"/>
                <w:color w:val="auto"/>
                <w:sz w:val="24"/>
                <w:szCs w:val="24"/>
                <w:highlight w:val="none"/>
              </w:rPr>
            </w:pPr>
          </w:p>
        </w:tc>
        <w:tc>
          <w:tcPr>
            <w:tcW w:w="1893" w:type="dxa"/>
            <w:noWrap/>
            <w:vAlign w:val="center"/>
          </w:tcPr>
          <w:p w14:paraId="6DB04FBE">
            <w:pPr>
              <w:spacing w:line="360" w:lineRule="auto"/>
              <w:jc w:val="left"/>
              <w:rPr>
                <w:rFonts w:ascii="宋体" w:hAnsi="宋体" w:cs="宋体"/>
                <w:color w:val="auto"/>
                <w:sz w:val="24"/>
                <w:szCs w:val="24"/>
                <w:highlight w:val="none"/>
              </w:rPr>
            </w:pPr>
          </w:p>
        </w:tc>
        <w:tc>
          <w:tcPr>
            <w:tcW w:w="983" w:type="dxa"/>
            <w:noWrap/>
            <w:vAlign w:val="center"/>
          </w:tcPr>
          <w:p w14:paraId="2195D0AA">
            <w:pPr>
              <w:spacing w:line="360" w:lineRule="auto"/>
              <w:jc w:val="left"/>
              <w:rPr>
                <w:rFonts w:ascii="宋体" w:hAnsi="宋体" w:cs="宋体"/>
                <w:color w:val="auto"/>
                <w:sz w:val="24"/>
                <w:szCs w:val="24"/>
                <w:highlight w:val="none"/>
              </w:rPr>
            </w:pPr>
          </w:p>
        </w:tc>
        <w:tc>
          <w:tcPr>
            <w:tcW w:w="1340" w:type="dxa"/>
            <w:noWrap/>
            <w:vAlign w:val="center"/>
          </w:tcPr>
          <w:p w14:paraId="269C9387">
            <w:pPr>
              <w:spacing w:line="360" w:lineRule="auto"/>
              <w:jc w:val="left"/>
              <w:rPr>
                <w:rFonts w:ascii="宋体" w:hAnsi="宋体" w:cs="宋体"/>
                <w:color w:val="auto"/>
                <w:sz w:val="24"/>
                <w:szCs w:val="24"/>
                <w:highlight w:val="none"/>
              </w:rPr>
            </w:pPr>
          </w:p>
        </w:tc>
        <w:tc>
          <w:tcPr>
            <w:tcW w:w="1451" w:type="dxa"/>
            <w:noWrap/>
            <w:vAlign w:val="center"/>
          </w:tcPr>
          <w:p w14:paraId="1AF9F9B1">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4FA93541">
            <w:pPr>
              <w:spacing w:line="360" w:lineRule="auto"/>
              <w:jc w:val="left"/>
              <w:rPr>
                <w:rFonts w:ascii="宋体" w:hAnsi="宋体" w:cs="宋体"/>
                <w:color w:val="auto"/>
                <w:sz w:val="24"/>
                <w:szCs w:val="24"/>
                <w:highlight w:val="none"/>
              </w:rPr>
            </w:pPr>
          </w:p>
        </w:tc>
      </w:tr>
      <w:tr w14:paraId="63EA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3B0254F0">
            <w:pPr>
              <w:spacing w:line="360" w:lineRule="auto"/>
              <w:jc w:val="left"/>
              <w:rPr>
                <w:rFonts w:ascii="宋体" w:hAnsi="宋体" w:cs="宋体"/>
                <w:color w:val="auto"/>
                <w:sz w:val="24"/>
                <w:szCs w:val="24"/>
                <w:highlight w:val="none"/>
              </w:rPr>
            </w:pPr>
          </w:p>
        </w:tc>
        <w:tc>
          <w:tcPr>
            <w:tcW w:w="1980" w:type="dxa"/>
            <w:noWrap/>
            <w:vAlign w:val="center"/>
          </w:tcPr>
          <w:p w14:paraId="60DCF9CF">
            <w:pPr>
              <w:spacing w:line="360" w:lineRule="auto"/>
              <w:jc w:val="left"/>
              <w:rPr>
                <w:rFonts w:ascii="宋体" w:hAnsi="宋体" w:cs="宋体"/>
                <w:color w:val="auto"/>
                <w:sz w:val="24"/>
                <w:szCs w:val="24"/>
                <w:highlight w:val="none"/>
              </w:rPr>
            </w:pPr>
          </w:p>
        </w:tc>
        <w:tc>
          <w:tcPr>
            <w:tcW w:w="1893" w:type="dxa"/>
            <w:noWrap/>
            <w:vAlign w:val="center"/>
          </w:tcPr>
          <w:p w14:paraId="3DF8584F">
            <w:pPr>
              <w:spacing w:line="360" w:lineRule="auto"/>
              <w:jc w:val="left"/>
              <w:rPr>
                <w:rFonts w:ascii="宋体" w:hAnsi="宋体" w:cs="宋体"/>
                <w:color w:val="auto"/>
                <w:sz w:val="24"/>
                <w:szCs w:val="24"/>
                <w:highlight w:val="none"/>
              </w:rPr>
            </w:pPr>
          </w:p>
        </w:tc>
        <w:tc>
          <w:tcPr>
            <w:tcW w:w="983" w:type="dxa"/>
            <w:noWrap/>
            <w:vAlign w:val="center"/>
          </w:tcPr>
          <w:p w14:paraId="2531EF9F">
            <w:pPr>
              <w:spacing w:line="360" w:lineRule="auto"/>
              <w:jc w:val="left"/>
              <w:rPr>
                <w:rFonts w:ascii="宋体" w:hAnsi="宋体" w:cs="宋体"/>
                <w:color w:val="auto"/>
                <w:sz w:val="24"/>
                <w:szCs w:val="24"/>
                <w:highlight w:val="none"/>
              </w:rPr>
            </w:pPr>
          </w:p>
        </w:tc>
        <w:tc>
          <w:tcPr>
            <w:tcW w:w="1340" w:type="dxa"/>
            <w:noWrap/>
            <w:vAlign w:val="center"/>
          </w:tcPr>
          <w:p w14:paraId="5E2EF8F3">
            <w:pPr>
              <w:spacing w:line="360" w:lineRule="auto"/>
              <w:jc w:val="left"/>
              <w:rPr>
                <w:rFonts w:ascii="宋体" w:hAnsi="宋体" w:cs="宋体"/>
                <w:color w:val="auto"/>
                <w:sz w:val="24"/>
                <w:szCs w:val="24"/>
                <w:highlight w:val="none"/>
              </w:rPr>
            </w:pPr>
          </w:p>
        </w:tc>
        <w:tc>
          <w:tcPr>
            <w:tcW w:w="1451" w:type="dxa"/>
            <w:noWrap/>
            <w:vAlign w:val="center"/>
          </w:tcPr>
          <w:p w14:paraId="763E6852">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258298EE">
            <w:pPr>
              <w:spacing w:line="360" w:lineRule="auto"/>
              <w:jc w:val="left"/>
              <w:rPr>
                <w:rFonts w:ascii="宋体" w:hAnsi="宋体" w:cs="宋体"/>
                <w:color w:val="auto"/>
                <w:sz w:val="24"/>
                <w:szCs w:val="24"/>
                <w:highlight w:val="none"/>
              </w:rPr>
            </w:pPr>
          </w:p>
        </w:tc>
      </w:tr>
      <w:tr w14:paraId="3363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6918DFC8">
            <w:pPr>
              <w:spacing w:line="360" w:lineRule="auto"/>
              <w:jc w:val="left"/>
              <w:rPr>
                <w:rFonts w:ascii="宋体" w:hAnsi="宋体" w:cs="宋体"/>
                <w:color w:val="auto"/>
                <w:sz w:val="24"/>
                <w:szCs w:val="24"/>
                <w:highlight w:val="none"/>
              </w:rPr>
            </w:pPr>
          </w:p>
        </w:tc>
        <w:tc>
          <w:tcPr>
            <w:tcW w:w="1980" w:type="dxa"/>
            <w:noWrap/>
            <w:vAlign w:val="center"/>
          </w:tcPr>
          <w:p w14:paraId="76E428C1">
            <w:pPr>
              <w:spacing w:line="360" w:lineRule="auto"/>
              <w:jc w:val="left"/>
              <w:rPr>
                <w:rFonts w:ascii="宋体" w:hAnsi="宋体" w:cs="宋体"/>
                <w:color w:val="auto"/>
                <w:sz w:val="24"/>
                <w:szCs w:val="24"/>
                <w:highlight w:val="none"/>
              </w:rPr>
            </w:pPr>
          </w:p>
        </w:tc>
        <w:tc>
          <w:tcPr>
            <w:tcW w:w="1893" w:type="dxa"/>
            <w:noWrap/>
            <w:vAlign w:val="center"/>
          </w:tcPr>
          <w:p w14:paraId="6EDDA92A">
            <w:pPr>
              <w:spacing w:line="360" w:lineRule="auto"/>
              <w:jc w:val="left"/>
              <w:rPr>
                <w:rFonts w:ascii="宋体" w:hAnsi="宋体" w:cs="宋体"/>
                <w:color w:val="auto"/>
                <w:sz w:val="24"/>
                <w:szCs w:val="24"/>
                <w:highlight w:val="none"/>
              </w:rPr>
            </w:pPr>
          </w:p>
        </w:tc>
        <w:tc>
          <w:tcPr>
            <w:tcW w:w="983" w:type="dxa"/>
            <w:noWrap/>
            <w:vAlign w:val="center"/>
          </w:tcPr>
          <w:p w14:paraId="20D85B08">
            <w:pPr>
              <w:spacing w:line="360" w:lineRule="auto"/>
              <w:jc w:val="left"/>
              <w:rPr>
                <w:rFonts w:ascii="宋体" w:hAnsi="宋体" w:cs="宋体"/>
                <w:color w:val="auto"/>
                <w:sz w:val="24"/>
                <w:szCs w:val="24"/>
                <w:highlight w:val="none"/>
              </w:rPr>
            </w:pPr>
          </w:p>
        </w:tc>
        <w:tc>
          <w:tcPr>
            <w:tcW w:w="1340" w:type="dxa"/>
            <w:noWrap/>
            <w:vAlign w:val="center"/>
          </w:tcPr>
          <w:p w14:paraId="0760B398">
            <w:pPr>
              <w:spacing w:line="360" w:lineRule="auto"/>
              <w:jc w:val="left"/>
              <w:rPr>
                <w:rFonts w:ascii="宋体" w:hAnsi="宋体" w:cs="宋体"/>
                <w:color w:val="auto"/>
                <w:sz w:val="24"/>
                <w:szCs w:val="24"/>
                <w:highlight w:val="none"/>
              </w:rPr>
            </w:pPr>
          </w:p>
        </w:tc>
        <w:tc>
          <w:tcPr>
            <w:tcW w:w="1451" w:type="dxa"/>
            <w:noWrap/>
            <w:vAlign w:val="center"/>
          </w:tcPr>
          <w:p w14:paraId="3D3F9F02">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2BBF82CC">
            <w:pPr>
              <w:spacing w:line="360" w:lineRule="auto"/>
              <w:jc w:val="left"/>
              <w:rPr>
                <w:rFonts w:ascii="宋体" w:hAnsi="宋体" w:cs="宋体"/>
                <w:color w:val="auto"/>
                <w:sz w:val="24"/>
                <w:szCs w:val="24"/>
                <w:highlight w:val="none"/>
              </w:rPr>
            </w:pPr>
          </w:p>
        </w:tc>
      </w:tr>
      <w:tr w14:paraId="336D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79EF76DC">
            <w:pPr>
              <w:spacing w:line="360" w:lineRule="auto"/>
              <w:jc w:val="left"/>
              <w:rPr>
                <w:rFonts w:ascii="宋体" w:hAnsi="宋体" w:cs="宋体"/>
                <w:color w:val="auto"/>
                <w:sz w:val="24"/>
                <w:szCs w:val="24"/>
                <w:highlight w:val="none"/>
              </w:rPr>
            </w:pPr>
          </w:p>
        </w:tc>
        <w:tc>
          <w:tcPr>
            <w:tcW w:w="1980" w:type="dxa"/>
            <w:noWrap/>
            <w:vAlign w:val="center"/>
          </w:tcPr>
          <w:p w14:paraId="23903A8A">
            <w:pPr>
              <w:spacing w:line="360" w:lineRule="auto"/>
              <w:jc w:val="left"/>
              <w:rPr>
                <w:rFonts w:ascii="宋体" w:hAnsi="宋体" w:cs="宋体"/>
                <w:color w:val="auto"/>
                <w:sz w:val="24"/>
                <w:szCs w:val="24"/>
                <w:highlight w:val="none"/>
              </w:rPr>
            </w:pPr>
          </w:p>
        </w:tc>
        <w:tc>
          <w:tcPr>
            <w:tcW w:w="1893" w:type="dxa"/>
            <w:noWrap/>
            <w:vAlign w:val="center"/>
          </w:tcPr>
          <w:p w14:paraId="3217492E">
            <w:pPr>
              <w:spacing w:line="360" w:lineRule="auto"/>
              <w:jc w:val="left"/>
              <w:rPr>
                <w:rFonts w:ascii="宋体" w:hAnsi="宋体" w:cs="宋体"/>
                <w:color w:val="auto"/>
                <w:sz w:val="24"/>
                <w:szCs w:val="24"/>
                <w:highlight w:val="none"/>
              </w:rPr>
            </w:pPr>
          </w:p>
        </w:tc>
        <w:tc>
          <w:tcPr>
            <w:tcW w:w="983" w:type="dxa"/>
            <w:noWrap/>
            <w:vAlign w:val="center"/>
          </w:tcPr>
          <w:p w14:paraId="6FCF5ADB">
            <w:pPr>
              <w:spacing w:line="360" w:lineRule="auto"/>
              <w:jc w:val="left"/>
              <w:rPr>
                <w:rFonts w:ascii="宋体" w:hAnsi="宋体" w:cs="宋体"/>
                <w:color w:val="auto"/>
                <w:sz w:val="24"/>
                <w:szCs w:val="24"/>
                <w:highlight w:val="none"/>
              </w:rPr>
            </w:pPr>
          </w:p>
        </w:tc>
        <w:tc>
          <w:tcPr>
            <w:tcW w:w="1340" w:type="dxa"/>
            <w:noWrap/>
            <w:vAlign w:val="center"/>
          </w:tcPr>
          <w:p w14:paraId="486BD618">
            <w:pPr>
              <w:spacing w:line="360" w:lineRule="auto"/>
              <w:jc w:val="left"/>
              <w:rPr>
                <w:rFonts w:ascii="宋体" w:hAnsi="宋体" w:cs="宋体"/>
                <w:color w:val="auto"/>
                <w:sz w:val="24"/>
                <w:szCs w:val="24"/>
                <w:highlight w:val="none"/>
              </w:rPr>
            </w:pPr>
          </w:p>
        </w:tc>
        <w:tc>
          <w:tcPr>
            <w:tcW w:w="1451" w:type="dxa"/>
            <w:noWrap/>
            <w:vAlign w:val="center"/>
          </w:tcPr>
          <w:p w14:paraId="15674DF3">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508B332A">
            <w:pPr>
              <w:spacing w:line="360" w:lineRule="auto"/>
              <w:jc w:val="left"/>
              <w:rPr>
                <w:rFonts w:ascii="宋体" w:hAnsi="宋体" w:cs="宋体"/>
                <w:color w:val="auto"/>
                <w:sz w:val="24"/>
                <w:szCs w:val="24"/>
                <w:highlight w:val="none"/>
              </w:rPr>
            </w:pPr>
          </w:p>
        </w:tc>
      </w:tr>
      <w:tr w14:paraId="222B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468" w:type="dxa"/>
            <w:tcBorders>
              <w:left w:val="single" w:color="auto" w:sz="12" w:space="0"/>
            </w:tcBorders>
            <w:noWrap/>
            <w:vAlign w:val="center"/>
          </w:tcPr>
          <w:p w14:paraId="51DF3393">
            <w:pPr>
              <w:spacing w:line="360" w:lineRule="auto"/>
              <w:jc w:val="left"/>
              <w:rPr>
                <w:rFonts w:ascii="宋体" w:hAnsi="宋体" w:cs="宋体"/>
                <w:color w:val="auto"/>
                <w:sz w:val="24"/>
                <w:szCs w:val="24"/>
                <w:highlight w:val="none"/>
              </w:rPr>
            </w:pPr>
          </w:p>
        </w:tc>
        <w:tc>
          <w:tcPr>
            <w:tcW w:w="1980" w:type="dxa"/>
            <w:noWrap/>
            <w:vAlign w:val="center"/>
          </w:tcPr>
          <w:p w14:paraId="26120BDB">
            <w:pPr>
              <w:spacing w:line="360" w:lineRule="auto"/>
              <w:jc w:val="left"/>
              <w:rPr>
                <w:rFonts w:ascii="宋体" w:hAnsi="宋体" w:cs="宋体"/>
                <w:color w:val="auto"/>
                <w:sz w:val="24"/>
                <w:szCs w:val="24"/>
                <w:highlight w:val="none"/>
              </w:rPr>
            </w:pPr>
          </w:p>
        </w:tc>
        <w:tc>
          <w:tcPr>
            <w:tcW w:w="1893" w:type="dxa"/>
            <w:noWrap/>
            <w:vAlign w:val="center"/>
          </w:tcPr>
          <w:p w14:paraId="2DDAE2BF">
            <w:pPr>
              <w:spacing w:line="360" w:lineRule="auto"/>
              <w:jc w:val="left"/>
              <w:rPr>
                <w:rFonts w:ascii="宋体" w:hAnsi="宋体" w:cs="宋体"/>
                <w:color w:val="auto"/>
                <w:sz w:val="24"/>
                <w:szCs w:val="24"/>
                <w:highlight w:val="none"/>
              </w:rPr>
            </w:pPr>
          </w:p>
        </w:tc>
        <w:tc>
          <w:tcPr>
            <w:tcW w:w="983" w:type="dxa"/>
            <w:noWrap/>
            <w:vAlign w:val="center"/>
          </w:tcPr>
          <w:p w14:paraId="62490829">
            <w:pPr>
              <w:spacing w:line="360" w:lineRule="auto"/>
              <w:jc w:val="left"/>
              <w:rPr>
                <w:rFonts w:ascii="宋体" w:hAnsi="宋体" w:cs="宋体"/>
                <w:color w:val="auto"/>
                <w:sz w:val="24"/>
                <w:szCs w:val="24"/>
                <w:highlight w:val="none"/>
              </w:rPr>
            </w:pPr>
          </w:p>
        </w:tc>
        <w:tc>
          <w:tcPr>
            <w:tcW w:w="1340" w:type="dxa"/>
            <w:noWrap/>
            <w:vAlign w:val="center"/>
          </w:tcPr>
          <w:p w14:paraId="0FD170F6">
            <w:pPr>
              <w:spacing w:line="360" w:lineRule="auto"/>
              <w:jc w:val="left"/>
              <w:rPr>
                <w:rFonts w:ascii="宋体" w:hAnsi="宋体" w:cs="宋体"/>
                <w:color w:val="auto"/>
                <w:sz w:val="24"/>
                <w:szCs w:val="24"/>
                <w:highlight w:val="none"/>
              </w:rPr>
            </w:pPr>
          </w:p>
        </w:tc>
        <w:tc>
          <w:tcPr>
            <w:tcW w:w="1451" w:type="dxa"/>
            <w:noWrap/>
            <w:vAlign w:val="center"/>
          </w:tcPr>
          <w:p w14:paraId="50A6AB57">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1E3F9998">
            <w:pPr>
              <w:spacing w:line="360" w:lineRule="auto"/>
              <w:jc w:val="left"/>
              <w:rPr>
                <w:rFonts w:ascii="宋体" w:hAnsi="宋体" w:cs="宋体"/>
                <w:color w:val="auto"/>
                <w:sz w:val="24"/>
                <w:szCs w:val="24"/>
                <w:highlight w:val="none"/>
              </w:rPr>
            </w:pPr>
          </w:p>
        </w:tc>
      </w:tr>
      <w:tr w14:paraId="2561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07F7D6B9">
            <w:pPr>
              <w:spacing w:line="360" w:lineRule="auto"/>
              <w:jc w:val="left"/>
              <w:rPr>
                <w:rFonts w:ascii="宋体" w:hAnsi="宋体" w:cs="宋体"/>
                <w:color w:val="auto"/>
                <w:sz w:val="24"/>
                <w:szCs w:val="24"/>
                <w:highlight w:val="none"/>
              </w:rPr>
            </w:pPr>
          </w:p>
        </w:tc>
        <w:tc>
          <w:tcPr>
            <w:tcW w:w="1980" w:type="dxa"/>
            <w:noWrap/>
            <w:vAlign w:val="center"/>
          </w:tcPr>
          <w:p w14:paraId="4F74AA07">
            <w:pPr>
              <w:spacing w:line="360" w:lineRule="auto"/>
              <w:jc w:val="left"/>
              <w:rPr>
                <w:rFonts w:ascii="宋体" w:hAnsi="宋体" w:cs="宋体"/>
                <w:color w:val="auto"/>
                <w:sz w:val="24"/>
                <w:szCs w:val="24"/>
                <w:highlight w:val="none"/>
              </w:rPr>
            </w:pPr>
          </w:p>
        </w:tc>
        <w:tc>
          <w:tcPr>
            <w:tcW w:w="1893" w:type="dxa"/>
            <w:noWrap/>
            <w:vAlign w:val="center"/>
          </w:tcPr>
          <w:p w14:paraId="1EE3BE04">
            <w:pPr>
              <w:spacing w:line="360" w:lineRule="auto"/>
              <w:jc w:val="left"/>
              <w:rPr>
                <w:rFonts w:ascii="宋体" w:hAnsi="宋体" w:cs="宋体"/>
                <w:color w:val="auto"/>
                <w:sz w:val="24"/>
                <w:szCs w:val="24"/>
                <w:highlight w:val="none"/>
              </w:rPr>
            </w:pPr>
          </w:p>
        </w:tc>
        <w:tc>
          <w:tcPr>
            <w:tcW w:w="983" w:type="dxa"/>
            <w:noWrap/>
            <w:vAlign w:val="center"/>
          </w:tcPr>
          <w:p w14:paraId="3FC398BF">
            <w:pPr>
              <w:spacing w:line="360" w:lineRule="auto"/>
              <w:jc w:val="left"/>
              <w:rPr>
                <w:rFonts w:ascii="宋体" w:hAnsi="宋体" w:cs="宋体"/>
                <w:color w:val="auto"/>
                <w:sz w:val="24"/>
                <w:szCs w:val="24"/>
                <w:highlight w:val="none"/>
              </w:rPr>
            </w:pPr>
          </w:p>
        </w:tc>
        <w:tc>
          <w:tcPr>
            <w:tcW w:w="1340" w:type="dxa"/>
            <w:noWrap/>
            <w:vAlign w:val="center"/>
          </w:tcPr>
          <w:p w14:paraId="0A7127BA">
            <w:pPr>
              <w:spacing w:line="360" w:lineRule="auto"/>
              <w:jc w:val="left"/>
              <w:rPr>
                <w:rFonts w:ascii="宋体" w:hAnsi="宋体" w:cs="宋体"/>
                <w:color w:val="auto"/>
                <w:sz w:val="24"/>
                <w:szCs w:val="24"/>
                <w:highlight w:val="none"/>
              </w:rPr>
            </w:pPr>
          </w:p>
        </w:tc>
        <w:tc>
          <w:tcPr>
            <w:tcW w:w="1451" w:type="dxa"/>
            <w:noWrap/>
            <w:vAlign w:val="center"/>
          </w:tcPr>
          <w:p w14:paraId="39A07350">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6459C414">
            <w:pPr>
              <w:spacing w:line="360" w:lineRule="auto"/>
              <w:jc w:val="left"/>
              <w:rPr>
                <w:rFonts w:ascii="宋体" w:hAnsi="宋体" w:cs="宋体"/>
                <w:color w:val="auto"/>
                <w:sz w:val="24"/>
                <w:szCs w:val="24"/>
                <w:highlight w:val="none"/>
              </w:rPr>
            </w:pPr>
          </w:p>
        </w:tc>
      </w:tr>
      <w:tr w14:paraId="5C0A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205350CB">
            <w:pPr>
              <w:spacing w:line="360" w:lineRule="auto"/>
              <w:jc w:val="left"/>
              <w:rPr>
                <w:rFonts w:ascii="宋体" w:hAnsi="宋体" w:cs="宋体"/>
                <w:color w:val="auto"/>
                <w:sz w:val="24"/>
                <w:szCs w:val="24"/>
                <w:highlight w:val="none"/>
              </w:rPr>
            </w:pPr>
          </w:p>
        </w:tc>
        <w:tc>
          <w:tcPr>
            <w:tcW w:w="1980" w:type="dxa"/>
            <w:noWrap/>
            <w:vAlign w:val="center"/>
          </w:tcPr>
          <w:p w14:paraId="31BBD4E5">
            <w:pPr>
              <w:spacing w:line="360" w:lineRule="auto"/>
              <w:jc w:val="left"/>
              <w:rPr>
                <w:rFonts w:ascii="宋体" w:hAnsi="宋体" w:cs="宋体"/>
                <w:color w:val="auto"/>
                <w:sz w:val="24"/>
                <w:szCs w:val="24"/>
                <w:highlight w:val="none"/>
              </w:rPr>
            </w:pPr>
          </w:p>
        </w:tc>
        <w:tc>
          <w:tcPr>
            <w:tcW w:w="1893" w:type="dxa"/>
            <w:noWrap/>
            <w:vAlign w:val="center"/>
          </w:tcPr>
          <w:p w14:paraId="47EAEF8E">
            <w:pPr>
              <w:spacing w:line="360" w:lineRule="auto"/>
              <w:jc w:val="left"/>
              <w:rPr>
                <w:rFonts w:ascii="宋体" w:hAnsi="宋体" w:cs="宋体"/>
                <w:color w:val="auto"/>
                <w:sz w:val="24"/>
                <w:szCs w:val="24"/>
                <w:highlight w:val="none"/>
              </w:rPr>
            </w:pPr>
          </w:p>
        </w:tc>
        <w:tc>
          <w:tcPr>
            <w:tcW w:w="983" w:type="dxa"/>
            <w:noWrap/>
            <w:vAlign w:val="center"/>
          </w:tcPr>
          <w:p w14:paraId="297AB0C0">
            <w:pPr>
              <w:spacing w:line="360" w:lineRule="auto"/>
              <w:jc w:val="left"/>
              <w:rPr>
                <w:rFonts w:ascii="宋体" w:hAnsi="宋体" w:cs="宋体"/>
                <w:color w:val="auto"/>
                <w:sz w:val="24"/>
                <w:szCs w:val="24"/>
                <w:highlight w:val="none"/>
              </w:rPr>
            </w:pPr>
          </w:p>
        </w:tc>
        <w:tc>
          <w:tcPr>
            <w:tcW w:w="1340" w:type="dxa"/>
            <w:noWrap/>
            <w:vAlign w:val="center"/>
          </w:tcPr>
          <w:p w14:paraId="300A5A5C">
            <w:pPr>
              <w:spacing w:line="360" w:lineRule="auto"/>
              <w:jc w:val="left"/>
              <w:rPr>
                <w:rFonts w:ascii="宋体" w:hAnsi="宋体" w:cs="宋体"/>
                <w:color w:val="auto"/>
                <w:sz w:val="24"/>
                <w:szCs w:val="24"/>
                <w:highlight w:val="none"/>
              </w:rPr>
            </w:pPr>
          </w:p>
        </w:tc>
        <w:tc>
          <w:tcPr>
            <w:tcW w:w="1451" w:type="dxa"/>
            <w:noWrap/>
            <w:vAlign w:val="center"/>
          </w:tcPr>
          <w:p w14:paraId="440A82FC">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483D3EB1">
            <w:pPr>
              <w:spacing w:line="360" w:lineRule="auto"/>
              <w:jc w:val="left"/>
              <w:rPr>
                <w:rFonts w:ascii="宋体" w:hAnsi="宋体" w:cs="宋体"/>
                <w:color w:val="auto"/>
                <w:sz w:val="24"/>
                <w:szCs w:val="24"/>
                <w:highlight w:val="none"/>
              </w:rPr>
            </w:pPr>
          </w:p>
        </w:tc>
      </w:tr>
      <w:tr w14:paraId="479F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54801DF7">
            <w:pPr>
              <w:spacing w:line="360" w:lineRule="auto"/>
              <w:jc w:val="left"/>
              <w:rPr>
                <w:rFonts w:ascii="宋体" w:hAnsi="宋体" w:cs="宋体"/>
                <w:color w:val="auto"/>
                <w:sz w:val="24"/>
                <w:szCs w:val="24"/>
                <w:highlight w:val="none"/>
              </w:rPr>
            </w:pPr>
          </w:p>
        </w:tc>
        <w:tc>
          <w:tcPr>
            <w:tcW w:w="1980" w:type="dxa"/>
            <w:noWrap/>
            <w:vAlign w:val="center"/>
          </w:tcPr>
          <w:p w14:paraId="1986C35F">
            <w:pPr>
              <w:spacing w:line="360" w:lineRule="auto"/>
              <w:jc w:val="left"/>
              <w:rPr>
                <w:rFonts w:ascii="宋体" w:hAnsi="宋体" w:cs="宋体"/>
                <w:color w:val="auto"/>
                <w:sz w:val="24"/>
                <w:szCs w:val="24"/>
                <w:highlight w:val="none"/>
              </w:rPr>
            </w:pPr>
          </w:p>
        </w:tc>
        <w:tc>
          <w:tcPr>
            <w:tcW w:w="1893" w:type="dxa"/>
            <w:noWrap/>
            <w:vAlign w:val="center"/>
          </w:tcPr>
          <w:p w14:paraId="16D250EC">
            <w:pPr>
              <w:spacing w:line="360" w:lineRule="auto"/>
              <w:jc w:val="left"/>
              <w:rPr>
                <w:rFonts w:ascii="宋体" w:hAnsi="宋体" w:cs="宋体"/>
                <w:color w:val="auto"/>
                <w:sz w:val="24"/>
                <w:szCs w:val="24"/>
                <w:highlight w:val="none"/>
              </w:rPr>
            </w:pPr>
          </w:p>
        </w:tc>
        <w:tc>
          <w:tcPr>
            <w:tcW w:w="983" w:type="dxa"/>
            <w:noWrap/>
            <w:vAlign w:val="center"/>
          </w:tcPr>
          <w:p w14:paraId="4804F0EC">
            <w:pPr>
              <w:spacing w:line="360" w:lineRule="auto"/>
              <w:jc w:val="left"/>
              <w:rPr>
                <w:rFonts w:ascii="宋体" w:hAnsi="宋体" w:cs="宋体"/>
                <w:color w:val="auto"/>
                <w:sz w:val="24"/>
                <w:szCs w:val="24"/>
                <w:highlight w:val="none"/>
              </w:rPr>
            </w:pPr>
          </w:p>
        </w:tc>
        <w:tc>
          <w:tcPr>
            <w:tcW w:w="1340" w:type="dxa"/>
            <w:noWrap/>
            <w:vAlign w:val="center"/>
          </w:tcPr>
          <w:p w14:paraId="774ABC25">
            <w:pPr>
              <w:spacing w:line="360" w:lineRule="auto"/>
              <w:jc w:val="left"/>
              <w:rPr>
                <w:rFonts w:ascii="宋体" w:hAnsi="宋体" w:cs="宋体"/>
                <w:color w:val="auto"/>
                <w:sz w:val="24"/>
                <w:szCs w:val="24"/>
                <w:highlight w:val="none"/>
              </w:rPr>
            </w:pPr>
          </w:p>
        </w:tc>
        <w:tc>
          <w:tcPr>
            <w:tcW w:w="1451" w:type="dxa"/>
            <w:noWrap/>
            <w:vAlign w:val="center"/>
          </w:tcPr>
          <w:p w14:paraId="6BF63629">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39C87286">
            <w:pPr>
              <w:spacing w:line="360" w:lineRule="auto"/>
              <w:jc w:val="left"/>
              <w:rPr>
                <w:rFonts w:ascii="宋体" w:hAnsi="宋体" w:cs="宋体"/>
                <w:color w:val="auto"/>
                <w:sz w:val="24"/>
                <w:szCs w:val="24"/>
                <w:highlight w:val="none"/>
              </w:rPr>
            </w:pPr>
          </w:p>
        </w:tc>
      </w:tr>
      <w:tr w14:paraId="74E9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54F1FED9">
            <w:pPr>
              <w:spacing w:line="360" w:lineRule="auto"/>
              <w:jc w:val="left"/>
              <w:rPr>
                <w:rFonts w:ascii="宋体" w:hAnsi="宋体" w:cs="宋体"/>
                <w:color w:val="auto"/>
                <w:sz w:val="24"/>
                <w:szCs w:val="24"/>
                <w:highlight w:val="none"/>
              </w:rPr>
            </w:pPr>
          </w:p>
        </w:tc>
        <w:tc>
          <w:tcPr>
            <w:tcW w:w="1980" w:type="dxa"/>
            <w:noWrap/>
            <w:vAlign w:val="center"/>
          </w:tcPr>
          <w:p w14:paraId="369D1692">
            <w:pPr>
              <w:spacing w:line="360" w:lineRule="auto"/>
              <w:jc w:val="left"/>
              <w:rPr>
                <w:rFonts w:ascii="宋体" w:hAnsi="宋体" w:cs="宋体"/>
                <w:color w:val="auto"/>
                <w:sz w:val="24"/>
                <w:szCs w:val="24"/>
                <w:highlight w:val="none"/>
              </w:rPr>
            </w:pPr>
          </w:p>
        </w:tc>
        <w:tc>
          <w:tcPr>
            <w:tcW w:w="1893" w:type="dxa"/>
            <w:noWrap/>
            <w:vAlign w:val="center"/>
          </w:tcPr>
          <w:p w14:paraId="5AF44FE5">
            <w:pPr>
              <w:spacing w:line="360" w:lineRule="auto"/>
              <w:jc w:val="left"/>
              <w:rPr>
                <w:rFonts w:ascii="宋体" w:hAnsi="宋体" w:cs="宋体"/>
                <w:color w:val="auto"/>
                <w:sz w:val="24"/>
                <w:szCs w:val="24"/>
                <w:highlight w:val="none"/>
              </w:rPr>
            </w:pPr>
          </w:p>
        </w:tc>
        <w:tc>
          <w:tcPr>
            <w:tcW w:w="983" w:type="dxa"/>
            <w:noWrap/>
            <w:vAlign w:val="center"/>
          </w:tcPr>
          <w:p w14:paraId="7233E815">
            <w:pPr>
              <w:spacing w:line="360" w:lineRule="auto"/>
              <w:jc w:val="left"/>
              <w:rPr>
                <w:rFonts w:ascii="宋体" w:hAnsi="宋体" w:cs="宋体"/>
                <w:color w:val="auto"/>
                <w:sz w:val="24"/>
                <w:szCs w:val="24"/>
                <w:highlight w:val="none"/>
              </w:rPr>
            </w:pPr>
          </w:p>
        </w:tc>
        <w:tc>
          <w:tcPr>
            <w:tcW w:w="1340" w:type="dxa"/>
            <w:noWrap/>
            <w:vAlign w:val="center"/>
          </w:tcPr>
          <w:p w14:paraId="546D999B">
            <w:pPr>
              <w:spacing w:line="360" w:lineRule="auto"/>
              <w:jc w:val="left"/>
              <w:rPr>
                <w:rFonts w:ascii="宋体" w:hAnsi="宋体" w:cs="宋体"/>
                <w:color w:val="auto"/>
                <w:sz w:val="24"/>
                <w:szCs w:val="24"/>
                <w:highlight w:val="none"/>
              </w:rPr>
            </w:pPr>
          </w:p>
        </w:tc>
        <w:tc>
          <w:tcPr>
            <w:tcW w:w="1451" w:type="dxa"/>
            <w:noWrap/>
            <w:vAlign w:val="center"/>
          </w:tcPr>
          <w:p w14:paraId="70EAB0F1">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7B528DFA">
            <w:pPr>
              <w:spacing w:line="360" w:lineRule="auto"/>
              <w:jc w:val="left"/>
              <w:rPr>
                <w:rFonts w:ascii="宋体" w:hAnsi="宋体" w:cs="宋体"/>
                <w:color w:val="auto"/>
                <w:sz w:val="24"/>
                <w:szCs w:val="24"/>
                <w:highlight w:val="none"/>
              </w:rPr>
            </w:pPr>
          </w:p>
        </w:tc>
      </w:tr>
      <w:tr w14:paraId="7DD1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5E87E622">
            <w:pPr>
              <w:spacing w:line="360" w:lineRule="auto"/>
              <w:jc w:val="left"/>
              <w:rPr>
                <w:rFonts w:ascii="宋体" w:hAnsi="宋体" w:cs="宋体"/>
                <w:color w:val="auto"/>
                <w:sz w:val="24"/>
                <w:szCs w:val="24"/>
                <w:highlight w:val="none"/>
              </w:rPr>
            </w:pPr>
          </w:p>
        </w:tc>
        <w:tc>
          <w:tcPr>
            <w:tcW w:w="1980" w:type="dxa"/>
            <w:noWrap/>
            <w:vAlign w:val="center"/>
          </w:tcPr>
          <w:p w14:paraId="1204F01D">
            <w:pPr>
              <w:spacing w:line="360" w:lineRule="auto"/>
              <w:jc w:val="left"/>
              <w:rPr>
                <w:rFonts w:ascii="宋体" w:hAnsi="宋体" w:cs="宋体"/>
                <w:color w:val="auto"/>
                <w:sz w:val="24"/>
                <w:szCs w:val="24"/>
                <w:highlight w:val="none"/>
              </w:rPr>
            </w:pPr>
          </w:p>
        </w:tc>
        <w:tc>
          <w:tcPr>
            <w:tcW w:w="1893" w:type="dxa"/>
            <w:noWrap/>
            <w:vAlign w:val="center"/>
          </w:tcPr>
          <w:p w14:paraId="46410A68">
            <w:pPr>
              <w:spacing w:line="360" w:lineRule="auto"/>
              <w:jc w:val="left"/>
              <w:rPr>
                <w:rFonts w:ascii="宋体" w:hAnsi="宋体" w:cs="宋体"/>
                <w:color w:val="auto"/>
                <w:sz w:val="24"/>
                <w:szCs w:val="24"/>
                <w:highlight w:val="none"/>
              </w:rPr>
            </w:pPr>
          </w:p>
        </w:tc>
        <w:tc>
          <w:tcPr>
            <w:tcW w:w="983" w:type="dxa"/>
            <w:noWrap/>
            <w:vAlign w:val="center"/>
          </w:tcPr>
          <w:p w14:paraId="458633E0">
            <w:pPr>
              <w:spacing w:line="360" w:lineRule="auto"/>
              <w:jc w:val="left"/>
              <w:rPr>
                <w:rFonts w:ascii="宋体" w:hAnsi="宋体" w:cs="宋体"/>
                <w:color w:val="auto"/>
                <w:sz w:val="24"/>
                <w:szCs w:val="24"/>
                <w:highlight w:val="none"/>
              </w:rPr>
            </w:pPr>
          </w:p>
        </w:tc>
        <w:tc>
          <w:tcPr>
            <w:tcW w:w="1340" w:type="dxa"/>
            <w:noWrap/>
            <w:vAlign w:val="center"/>
          </w:tcPr>
          <w:p w14:paraId="37496854">
            <w:pPr>
              <w:spacing w:line="360" w:lineRule="auto"/>
              <w:jc w:val="left"/>
              <w:rPr>
                <w:rFonts w:ascii="宋体" w:hAnsi="宋体" w:cs="宋体"/>
                <w:color w:val="auto"/>
                <w:sz w:val="24"/>
                <w:szCs w:val="24"/>
                <w:highlight w:val="none"/>
              </w:rPr>
            </w:pPr>
          </w:p>
        </w:tc>
        <w:tc>
          <w:tcPr>
            <w:tcW w:w="1451" w:type="dxa"/>
            <w:noWrap/>
            <w:vAlign w:val="center"/>
          </w:tcPr>
          <w:p w14:paraId="6831980C">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4314746A">
            <w:pPr>
              <w:spacing w:line="360" w:lineRule="auto"/>
              <w:jc w:val="left"/>
              <w:rPr>
                <w:rFonts w:ascii="宋体" w:hAnsi="宋体" w:cs="宋体"/>
                <w:color w:val="auto"/>
                <w:sz w:val="24"/>
                <w:szCs w:val="24"/>
                <w:highlight w:val="none"/>
              </w:rPr>
            </w:pPr>
          </w:p>
        </w:tc>
      </w:tr>
      <w:tr w14:paraId="2F47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09A006E3">
            <w:pPr>
              <w:spacing w:line="360" w:lineRule="auto"/>
              <w:jc w:val="left"/>
              <w:rPr>
                <w:rFonts w:ascii="宋体" w:hAnsi="宋体" w:cs="宋体"/>
                <w:color w:val="auto"/>
                <w:sz w:val="24"/>
                <w:szCs w:val="24"/>
                <w:highlight w:val="none"/>
              </w:rPr>
            </w:pPr>
          </w:p>
        </w:tc>
        <w:tc>
          <w:tcPr>
            <w:tcW w:w="1980" w:type="dxa"/>
            <w:noWrap/>
            <w:vAlign w:val="center"/>
          </w:tcPr>
          <w:p w14:paraId="565B06FE">
            <w:pPr>
              <w:spacing w:line="360" w:lineRule="auto"/>
              <w:jc w:val="left"/>
              <w:rPr>
                <w:rFonts w:ascii="宋体" w:hAnsi="宋体" w:cs="宋体"/>
                <w:color w:val="auto"/>
                <w:sz w:val="24"/>
                <w:szCs w:val="24"/>
                <w:highlight w:val="none"/>
              </w:rPr>
            </w:pPr>
          </w:p>
        </w:tc>
        <w:tc>
          <w:tcPr>
            <w:tcW w:w="1893" w:type="dxa"/>
            <w:noWrap/>
            <w:vAlign w:val="center"/>
          </w:tcPr>
          <w:p w14:paraId="2386729D">
            <w:pPr>
              <w:spacing w:line="360" w:lineRule="auto"/>
              <w:jc w:val="left"/>
              <w:rPr>
                <w:rFonts w:ascii="宋体" w:hAnsi="宋体" w:cs="宋体"/>
                <w:color w:val="auto"/>
                <w:sz w:val="24"/>
                <w:szCs w:val="24"/>
                <w:highlight w:val="none"/>
              </w:rPr>
            </w:pPr>
          </w:p>
        </w:tc>
        <w:tc>
          <w:tcPr>
            <w:tcW w:w="983" w:type="dxa"/>
            <w:noWrap/>
            <w:vAlign w:val="center"/>
          </w:tcPr>
          <w:p w14:paraId="0897957C">
            <w:pPr>
              <w:spacing w:line="360" w:lineRule="auto"/>
              <w:jc w:val="left"/>
              <w:rPr>
                <w:rFonts w:ascii="宋体" w:hAnsi="宋体" w:cs="宋体"/>
                <w:color w:val="auto"/>
                <w:sz w:val="24"/>
                <w:szCs w:val="24"/>
                <w:highlight w:val="none"/>
              </w:rPr>
            </w:pPr>
          </w:p>
        </w:tc>
        <w:tc>
          <w:tcPr>
            <w:tcW w:w="1340" w:type="dxa"/>
            <w:noWrap/>
            <w:vAlign w:val="center"/>
          </w:tcPr>
          <w:p w14:paraId="0DFEAC0B">
            <w:pPr>
              <w:spacing w:line="360" w:lineRule="auto"/>
              <w:jc w:val="left"/>
              <w:rPr>
                <w:rFonts w:ascii="宋体" w:hAnsi="宋体" w:cs="宋体"/>
                <w:color w:val="auto"/>
                <w:sz w:val="24"/>
                <w:szCs w:val="24"/>
                <w:highlight w:val="none"/>
              </w:rPr>
            </w:pPr>
          </w:p>
        </w:tc>
        <w:tc>
          <w:tcPr>
            <w:tcW w:w="1451" w:type="dxa"/>
            <w:noWrap/>
            <w:vAlign w:val="center"/>
          </w:tcPr>
          <w:p w14:paraId="12F2A802">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7BB4D7D4">
            <w:pPr>
              <w:spacing w:line="360" w:lineRule="auto"/>
              <w:jc w:val="left"/>
              <w:rPr>
                <w:rFonts w:ascii="宋体" w:hAnsi="宋体" w:cs="宋体"/>
                <w:color w:val="auto"/>
                <w:sz w:val="24"/>
                <w:szCs w:val="24"/>
                <w:highlight w:val="none"/>
              </w:rPr>
            </w:pPr>
          </w:p>
        </w:tc>
      </w:tr>
      <w:tr w14:paraId="018A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0DCE8E5A">
            <w:pPr>
              <w:spacing w:line="360" w:lineRule="auto"/>
              <w:jc w:val="left"/>
              <w:rPr>
                <w:rFonts w:ascii="宋体" w:hAnsi="宋体" w:cs="宋体"/>
                <w:color w:val="auto"/>
                <w:sz w:val="24"/>
                <w:szCs w:val="24"/>
                <w:highlight w:val="none"/>
              </w:rPr>
            </w:pPr>
          </w:p>
        </w:tc>
        <w:tc>
          <w:tcPr>
            <w:tcW w:w="1980" w:type="dxa"/>
            <w:noWrap/>
            <w:vAlign w:val="center"/>
          </w:tcPr>
          <w:p w14:paraId="7F5484F7">
            <w:pPr>
              <w:spacing w:line="360" w:lineRule="auto"/>
              <w:jc w:val="left"/>
              <w:rPr>
                <w:rFonts w:ascii="宋体" w:hAnsi="宋体" w:cs="宋体"/>
                <w:color w:val="auto"/>
                <w:sz w:val="24"/>
                <w:szCs w:val="24"/>
                <w:highlight w:val="none"/>
              </w:rPr>
            </w:pPr>
          </w:p>
        </w:tc>
        <w:tc>
          <w:tcPr>
            <w:tcW w:w="1893" w:type="dxa"/>
            <w:noWrap/>
            <w:vAlign w:val="center"/>
          </w:tcPr>
          <w:p w14:paraId="0358493E">
            <w:pPr>
              <w:spacing w:line="360" w:lineRule="auto"/>
              <w:jc w:val="left"/>
              <w:rPr>
                <w:rFonts w:ascii="宋体" w:hAnsi="宋体" w:cs="宋体"/>
                <w:color w:val="auto"/>
                <w:sz w:val="24"/>
                <w:szCs w:val="24"/>
                <w:highlight w:val="none"/>
              </w:rPr>
            </w:pPr>
          </w:p>
        </w:tc>
        <w:tc>
          <w:tcPr>
            <w:tcW w:w="983" w:type="dxa"/>
            <w:noWrap/>
            <w:vAlign w:val="center"/>
          </w:tcPr>
          <w:p w14:paraId="24A075C3">
            <w:pPr>
              <w:spacing w:line="360" w:lineRule="auto"/>
              <w:jc w:val="left"/>
              <w:rPr>
                <w:rFonts w:ascii="宋体" w:hAnsi="宋体" w:cs="宋体"/>
                <w:color w:val="auto"/>
                <w:sz w:val="24"/>
                <w:szCs w:val="24"/>
                <w:highlight w:val="none"/>
              </w:rPr>
            </w:pPr>
          </w:p>
        </w:tc>
        <w:tc>
          <w:tcPr>
            <w:tcW w:w="1340" w:type="dxa"/>
            <w:noWrap/>
            <w:vAlign w:val="center"/>
          </w:tcPr>
          <w:p w14:paraId="785EA3D5">
            <w:pPr>
              <w:spacing w:line="360" w:lineRule="auto"/>
              <w:jc w:val="left"/>
              <w:rPr>
                <w:rFonts w:ascii="宋体" w:hAnsi="宋体" w:cs="宋体"/>
                <w:color w:val="auto"/>
                <w:sz w:val="24"/>
                <w:szCs w:val="24"/>
                <w:highlight w:val="none"/>
              </w:rPr>
            </w:pPr>
          </w:p>
        </w:tc>
        <w:tc>
          <w:tcPr>
            <w:tcW w:w="1451" w:type="dxa"/>
            <w:noWrap/>
            <w:vAlign w:val="center"/>
          </w:tcPr>
          <w:p w14:paraId="7E732916">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495F8C33">
            <w:pPr>
              <w:spacing w:line="360" w:lineRule="auto"/>
              <w:jc w:val="left"/>
              <w:rPr>
                <w:rFonts w:ascii="宋体" w:hAnsi="宋体" w:cs="宋体"/>
                <w:color w:val="auto"/>
                <w:sz w:val="24"/>
                <w:szCs w:val="24"/>
                <w:highlight w:val="none"/>
              </w:rPr>
            </w:pPr>
          </w:p>
        </w:tc>
      </w:tr>
      <w:tr w14:paraId="4521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3E937E06">
            <w:pPr>
              <w:spacing w:line="360" w:lineRule="auto"/>
              <w:jc w:val="left"/>
              <w:rPr>
                <w:rFonts w:ascii="宋体" w:hAnsi="宋体" w:cs="宋体"/>
                <w:color w:val="auto"/>
                <w:sz w:val="24"/>
                <w:szCs w:val="24"/>
                <w:highlight w:val="none"/>
              </w:rPr>
            </w:pPr>
          </w:p>
        </w:tc>
        <w:tc>
          <w:tcPr>
            <w:tcW w:w="1980" w:type="dxa"/>
            <w:noWrap/>
            <w:vAlign w:val="center"/>
          </w:tcPr>
          <w:p w14:paraId="0C046300">
            <w:pPr>
              <w:spacing w:line="360" w:lineRule="auto"/>
              <w:jc w:val="left"/>
              <w:rPr>
                <w:rFonts w:ascii="宋体" w:hAnsi="宋体" w:cs="宋体"/>
                <w:color w:val="auto"/>
                <w:sz w:val="24"/>
                <w:szCs w:val="24"/>
                <w:highlight w:val="none"/>
              </w:rPr>
            </w:pPr>
          </w:p>
        </w:tc>
        <w:tc>
          <w:tcPr>
            <w:tcW w:w="1893" w:type="dxa"/>
            <w:noWrap/>
            <w:vAlign w:val="center"/>
          </w:tcPr>
          <w:p w14:paraId="34914D4E">
            <w:pPr>
              <w:spacing w:line="360" w:lineRule="auto"/>
              <w:jc w:val="left"/>
              <w:rPr>
                <w:rFonts w:ascii="宋体" w:hAnsi="宋体" w:cs="宋体"/>
                <w:color w:val="auto"/>
                <w:sz w:val="24"/>
                <w:szCs w:val="24"/>
                <w:highlight w:val="none"/>
              </w:rPr>
            </w:pPr>
          </w:p>
        </w:tc>
        <w:tc>
          <w:tcPr>
            <w:tcW w:w="983" w:type="dxa"/>
            <w:noWrap/>
            <w:vAlign w:val="center"/>
          </w:tcPr>
          <w:p w14:paraId="576F6FF7">
            <w:pPr>
              <w:spacing w:line="360" w:lineRule="auto"/>
              <w:jc w:val="left"/>
              <w:rPr>
                <w:rFonts w:ascii="宋体" w:hAnsi="宋体" w:cs="宋体"/>
                <w:color w:val="auto"/>
                <w:sz w:val="24"/>
                <w:szCs w:val="24"/>
                <w:highlight w:val="none"/>
              </w:rPr>
            </w:pPr>
          </w:p>
        </w:tc>
        <w:tc>
          <w:tcPr>
            <w:tcW w:w="1340" w:type="dxa"/>
            <w:noWrap/>
            <w:vAlign w:val="center"/>
          </w:tcPr>
          <w:p w14:paraId="6D068263">
            <w:pPr>
              <w:spacing w:line="360" w:lineRule="auto"/>
              <w:jc w:val="left"/>
              <w:rPr>
                <w:rFonts w:ascii="宋体" w:hAnsi="宋体" w:cs="宋体"/>
                <w:color w:val="auto"/>
                <w:sz w:val="24"/>
                <w:szCs w:val="24"/>
                <w:highlight w:val="none"/>
              </w:rPr>
            </w:pPr>
          </w:p>
        </w:tc>
        <w:tc>
          <w:tcPr>
            <w:tcW w:w="1451" w:type="dxa"/>
            <w:noWrap/>
            <w:vAlign w:val="center"/>
          </w:tcPr>
          <w:p w14:paraId="208E54A9">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7E163D13">
            <w:pPr>
              <w:spacing w:line="360" w:lineRule="auto"/>
              <w:jc w:val="left"/>
              <w:rPr>
                <w:rFonts w:ascii="宋体" w:hAnsi="宋体" w:cs="宋体"/>
                <w:color w:val="auto"/>
                <w:sz w:val="24"/>
                <w:szCs w:val="24"/>
                <w:highlight w:val="none"/>
              </w:rPr>
            </w:pPr>
          </w:p>
        </w:tc>
      </w:tr>
      <w:tr w14:paraId="1813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14:paraId="6ABA5BC3">
            <w:pPr>
              <w:spacing w:line="360" w:lineRule="auto"/>
              <w:jc w:val="left"/>
              <w:rPr>
                <w:rFonts w:ascii="宋体" w:hAnsi="宋体" w:cs="宋体"/>
                <w:color w:val="auto"/>
                <w:sz w:val="24"/>
                <w:szCs w:val="24"/>
                <w:highlight w:val="none"/>
              </w:rPr>
            </w:pPr>
          </w:p>
        </w:tc>
        <w:tc>
          <w:tcPr>
            <w:tcW w:w="1980" w:type="dxa"/>
            <w:noWrap/>
            <w:vAlign w:val="center"/>
          </w:tcPr>
          <w:p w14:paraId="59D873B5">
            <w:pPr>
              <w:spacing w:line="360" w:lineRule="auto"/>
              <w:jc w:val="left"/>
              <w:rPr>
                <w:rFonts w:ascii="宋体" w:hAnsi="宋体" w:cs="宋体"/>
                <w:color w:val="auto"/>
                <w:sz w:val="24"/>
                <w:szCs w:val="24"/>
                <w:highlight w:val="none"/>
              </w:rPr>
            </w:pPr>
          </w:p>
        </w:tc>
        <w:tc>
          <w:tcPr>
            <w:tcW w:w="1893" w:type="dxa"/>
            <w:noWrap/>
            <w:vAlign w:val="center"/>
          </w:tcPr>
          <w:p w14:paraId="774F6E5A">
            <w:pPr>
              <w:spacing w:line="360" w:lineRule="auto"/>
              <w:jc w:val="left"/>
              <w:rPr>
                <w:rFonts w:ascii="宋体" w:hAnsi="宋体" w:cs="宋体"/>
                <w:color w:val="auto"/>
                <w:sz w:val="24"/>
                <w:szCs w:val="24"/>
                <w:highlight w:val="none"/>
              </w:rPr>
            </w:pPr>
          </w:p>
        </w:tc>
        <w:tc>
          <w:tcPr>
            <w:tcW w:w="983" w:type="dxa"/>
            <w:noWrap/>
            <w:vAlign w:val="center"/>
          </w:tcPr>
          <w:p w14:paraId="32D3CD81">
            <w:pPr>
              <w:spacing w:line="360" w:lineRule="auto"/>
              <w:jc w:val="left"/>
              <w:rPr>
                <w:rFonts w:ascii="宋体" w:hAnsi="宋体" w:cs="宋体"/>
                <w:color w:val="auto"/>
                <w:sz w:val="24"/>
                <w:szCs w:val="24"/>
                <w:highlight w:val="none"/>
              </w:rPr>
            </w:pPr>
          </w:p>
        </w:tc>
        <w:tc>
          <w:tcPr>
            <w:tcW w:w="1340" w:type="dxa"/>
            <w:noWrap/>
            <w:vAlign w:val="center"/>
          </w:tcPr>
          <w:p w14:paraId="2906CD35">
            <w:pPr>
              <w:spacing w:line="360" w:lineRule="auto"/>
              <w:jc w:val="left"/>
              <w:rPr>
                <w:rFonts w:ascii="宋体" w:hAnsi="宋体" w:cs="宋体"/>
                <w:color w:val="auto"/>
                <w:sz w:val="24"/>
                <w:szCs w:val="24"/>
                <w:highlight w:val="none"/>
              </w:rPr>
            </w:pPr>
          </w:p>
        </w:tc>
        <w:tc>
          <w:tcPr>
            <w:tcW w:w="1451" w:type="dxa"/>
            <w:noWrap/>
            <w:vAlign w:val="center"/>
          </w:tcPr>
          <w:p w14:paraId="3CF83B6D">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14:paraId="3DE40DF8">
            <w:pPr>
              <w:spacing w:line="360" w:lineRule="auto"/>
              <w:jc w:val="left"/>
              <w:rPr>
                <w:rFonts w:ascii="宋体" w:hAnsi="宋体" w:cs="宋体"/>
                <w:color w:val="auto"/>
                <w:sz w:val="24"/>
                <w:szCs w:val="24"/>
                <w:highlight w:val="none"/>
              </w:rPr>
            </w:pPr>
          </w:p>
        </w:tc>
      </w:tr>
      <w:tr w14:paraId="13A3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bottom w:val="single" w:color="auto" w:sz="12" w:space="0"/>
            </w:tcBorders>
            <w:noWrap/>
            <w:vAlign w:val="center"/>
          </w:tcPr>
          <w:p w14:paraId="390197E7">
            <w:pPr>
              <w:spacing w:line="360" w:lineRule="auto"/>
              <w:jc w:val="left"/>
              <w:rPr>
                <w:rFonts w:ascii="宋体" w:hAnsi="宋体" w:cs="宋体"/>
                <w:color w:val="auto"/>
                <w:sz w:val="24"/>
                <w:szCs w:val="24"/>
                <w:highlight w:val="none"/>
              </w:rPr>
            </w:pPr>
          </w:p>
        </w:tc>
        <w:tc>
          <w:tcPr>
            <w:tcW w:w="1980" w:type="dxa"/>
            <w:tcBorders>
              <w:bottom w:val="single" w:color="auto" w:sz="12" w:space="0"/>
            </w:tcBorders>
            <w:noWrap/>
            <w:vAlign w:val="center"/>
          </w:tcPr>
          <w:p w14:paraId="451DBEB0">
            <w:pPr>
              <w:spacing w:line="360" w:lineRule="auto"/>
              <w:jc w:val="left"/>
              <w:rPr>
                <w:rFonts w:ascii="宋体" w:hAnsi="宋体" w:cs="宋体"/>
                <w:color w:val="auto"/>
                <w:sz w:val="24"/>
                <w:szCs w:val="24"/>
                <w:highlight w:val="none"/>
              </w:rPr>
            </w:pPr>
          </w:p>
        </w:tc>
        <w:tc>
          <w:tcPr>
            <w:tcW w:w="1893" w:type="dxa"/>
            <w:tcBorders>
              <w:bottom w:val="single" w:color="auto" w:sz="12" w:space="0"/>
            </w:tcBorders>
            <w:noWrap/>
            <w:vAlign w:val="center"/>
          </w:tcPr>
          <w:p w14:paraId="439C3409">
            <w:pPr>
              <w:spacing w:line="360" w:lineRule="auto"/>
              <w:jc w:val="left"/>
              <w:rPr>
                <w:rFonts w:ascii="宋体" w:hAnsi="宋体" w:cs="宋体"/>
                <w:color w:val="auto"/>
                <w:sz w:val="24"/>
                <w:szCs w:val="24"/>
                <w:highlight w:val="none"/>
              </w:rPr>
            </w:pPr>
          </w:p>
        </w:tc>
        <w:tc>
          <w:tcPr>
            <w:tcW w:w="983" w:type="dxa"/>
            <w:tcBorders>
              <w:bottom w:val="single" w:color="auto" w:sz="12" w:space="0"/>
            </w:tcBorders>
            <w:noWrap/>
            <w:vAlign w:val="center"/>
          </w:tcPr>
          <w:p w14:paraId="76144916">
            <w:pPr>
              <w:spacing w:line="360" w:lineRule="auto"/>
              <w:jc w:val="left"/>
              <w:rPr>
                <w:rFonts w:ascii="宋体" w:hAnsi="宋体" w:cs="宋体"/>
                <w:color w:val="auto"/>
                <w:sz w:val="24"/>
                <w:szCs w:val="24"/>
                <w:highlight w:val="none"/>
              </w:rPr>
            </w:pPr>
          </w:p>
        </w:tc>
        <w:tc>
          <w:tcPr>
            <w:tcW w:w="1340" w:type="dxa"/>
            <w:tcBorders>
              <w:bottom w:val="single" w:color="auto" w:sz="12" w:space="0"/>
            </w:tcBorders>
            <w:noWrap/>
            <w:vAlign w:val="center"/>
          </w:tcPr>
          <w:p w14:paraId="0F3BB290">
            <w:pPr>
              <w:spacing w:line="360" w:lineRule="auto"/>
              <w:jc w:val="left"/>
              <w:rPr>
                <w:rFonts w:ascii="宋体" w:hAnsi="宋体" w:cs="宋体"/>
                <w:color w:val="auto"/>
                <w:sz w:val="24"/>
                <w:szCs w:val="24"/>
                <w:highlight w:val="none"/>
              </w:rPr>
            </w:pPr>
          </w:p>
        </w:tc>
        <w:tc>
          <w:tcPr>
            <w:tcW w:w="1451" w:type="dxa"/>
            <w:tcBorders>
              <w:bottom w:val="single" w:color="auto" w:sz="12" w:space="0"/>
            </w:tcBorders>
            <w:noWrap/>
            <w:vAlign w:val="center"/>
          </w:tcPr>
          <w:p w14:paraId="41185F8D">
            <w:pPr>
              <w:spacing w:line="360" w:lineRule="auto"/>
              <w:jc w:val="left"/>
              <w:rPr>
                <w:rFonts w:ascii="宋体" w:hAnsi="宋体" w:cs="宋体"/>
                <w:color w:val="auto"/>
                <w:sz w:val="24"/>
                <w:szCs w:val="24"/>
                <w:highlight w:val="none"/>
              </w:rPr>
            </w:pPr>
          </w:p>
        </w:tc>
        <w:tc>
          <w:tcPr>
            <w:tcW w:w="1562" w:type="dxa"/>
            <w:tcBorders>
              <w:bottom w:val="single" w:color="auto" w:sz="12" w:space="0"/>
              <w:right w:val="single" w:color="auto" w:sz="12" w:space="0"/>
            </w:tcBorders>
            <w:noWrap/>
            <w:vAlign w:val="center"/>
          </w:tcPr>
          <w:p w14:paraId="2666CB3B">
            <w:pPr>
              <w:spacing w:line="360" w:lineRule="auto"/>
              <w:jc w:val="left"/>
              <w:rPr>
                <w:rFonts w:ascii="宋体" w:hAnsi="宋体" w:cs="宋体"/>
                <w:color w:val="auto"/>
                <w:sz w:val="24"/>
                <w:szCs w:val="24"/>
                <w:highlight w:val="none"/>
              </w:rPr>
            </w:pPr>
          </w:p>
        </w:tc>
      </w:tr>
    </w:tbl>
    <w:p w14:paraId="64AFD22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注：中标后，需按此表提供仪器、设备。</w:t>
      </w:r>
    </w:p>
    <w:p w14:paraId="34D81322">
      <w:pPr>
        <w:snapToGrid w:val="0"/>
        <w:spacing w:line="360" w:lineRule="auto"/>
        <w:jc w:val="center"/>
        <w:rPr>
          <w:rFonts w:ascii="宋体" w:hAnsi="宋体" w:cs="宋体"/>
          <w:b/>
          <w:color w:val="auto"/>
          <w:sz w:val="28"/>
          <w:szCs w:val="28"/>
          <w:highlight w:val="none"/>
        </w:rPr>
      </w:pPr>
    </w:p>
    <w:p w14:paraId="1023A1B1">
      <w:pPr>
        <w:pStyle w:val="22"/>
        <w:ind w:firstLine="562"/>
        <w:rPr>
          <w:rFonts w:ascii="宋体" w:hAnsi="宋体" w:cs="宋体"/>
          <w:b/>
          <w:color w:val="auto"/>
          <w:sz w:val="28"/>
          <w:szCs w:val="28"/>
          <w:highlight w:val="none"/>
        </w:rPr>
      </w:pPr>
    </w:p>
    <w:p w14:paraId="40B22A5D">
      <w:pPr>
        <w:snapToGrid w:val="0"/>
        <w:spacing w:line="360" w:lineRule="auto"/>
        <w:jc w:val="center"/>
        <w:rPr>
          <w:rFonts w:ascii="宋体" w:hAnsi="宋体" w:cs="宋体"/>
          <w:b/>
          <w:color w:val="auto"/>
          <w:sz w:val="28"/>
          <w:szCs w:val="28"/>
          <w:highlight w:val="none"/>
        </w:rPr>
      </w:pPr>
    </w:p>
    <w:p w14:paraId="0184B9AA">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8"/>
          <w:szCs w:val="28"/>
          <w:highlight w:val="none"/>
        </w:rPr>
        <w:t>投   标   书</w:t>
      </w:r>
    </w:p>
    <w:p w14:paraId="4825B79B">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致：</w:t>
      </w:r>
      <w:r>
        <w:rPr>
          <w:rFonts w:hint="eastAsia" w:ascii="宋体" w:hAnsi="宋体" w:cs="宋体"/>
          <w:color w:val="auto"/>
          <w:sz w:val="24"/>
          <w:szCs w:val="24"/>
          <w:highlight w:val="none"/>
          <w:u w:val="single"/>
        </w:rPr>
        <w:t xml:space="preserve">   （招  标  人  名  称） </w:t>
      </w:r>
    </w:p>
    <w:p w14:paraId="60755693">
      <w:pPr>
        <w:adjustRightInd w:val="0"/>
        <w:snapToGrid w:val="0"/>
        <w:spacing w:line="360" w:lineRule="auto"/>
        <w:ind w:firstLine="532" w:firstLineChars="222"/>
        <w:jc w:val="left"/>
        <w:rPr>
          <w:rFonts w:ascii="宋体" w:hAnsi="宋体" w:cs="宋体"/>
          <w:color w:val="auto"/>
          <w:sz w:val="24"/>
          <w:szCs w:val="24"/>
          <w:highlight w:val="none"/>
        </w:rPr>
      </w:pPr>
      <w:r>
        <w:rPr>
          <w:rFonts w:hint="eastAsia" w:ascii="宋体" w:hAnsi="宋体" w:cs="宋体"/>
          <w:color w:val="auto"/>
          <w:sz w:val="24"/>
          <w:szCs w:val="24"/>
          <w:highlight w:val="none"/>
        </w:rPr>
        <w:t>我方已全面阅读和研究贵方的招标编号为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监理招标文件和招标补充文件，并经过对施工现场的踏勘，澄清疑问，已充分理解并掌握了此次工程招标的全部有关情况。同意接受招标文件的全部内容和条件，并按此确定本工程监理投标的全部内容，以本投标书向你方发包的全部内容进行投标。监理费分别为：</w:t>
      </w:r>
    </w:p>
    <w:p w14:paraId="0D09D4BA">
      <w:pPr>
        <w:adjustRightInd w:val="0"/>
        <w:snapToGrid w:val="0"/>
        <w:spacing w:line="360" w:lineRule="auto"/>
        <w:ind w:firstLine="532" w:firstLineChars="222"/>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lang w:eastAsia="zh-CN"/>
        </w:rPr>
        <w:t>水木冲尾矿库闭库销号工程监理</w:t>
      </w:r>
      <w:r>
        <w:rPr>
          <w:rFonts w:hint="eastAsia" w:ascii="宋体" w:hAnsi="宋体" w:cs="宋体"/>
          <w:b/>
          <w:bCs/>
          <w:color w:val="auto"/>
          <w:sz w:val="24"/>
          <w:szCs w:val="24"/>
          <w:highlight w:val="none"/>
        </w:rPr>
        <w:t>项目监理服务费</w:t>
      </w:r>
      <w:r>
        <w:rPr>
          <w:rFonts w:hint="eastAsia" w:ascii="宋体" w:hAnsi="宋体" w:cs="宋体"/>
          <w:color w:val="auto"/>
          <w:sz w:val="24"/>
          <w:szCs w:val="24"/>
          <w:highlight w:val="none"/>
        </w:rPr>
        <w:t>报价为____________</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rPr>
        <w:t>，负责本工程的总监是____、监理人数为______人，监理服务期为______，施工质量控制目标为______；</w:t>
      </w:r>
    </w:p>
    <w:p w14:paraId="3CB0D748">
      <w:pPr>
        <w:pStyle w:val="13"/>
        <w:adjustRightInd w:val="0"/>
        <w:snapToGrid w:val="0"/>
        <w:spacing w:line="360" w:lineRule="auto"/>
        <w:ind w:firstLine="532" w:firstLineChars="222"/>
        <w:rPr>
          <w:rFonts w:ascii="宋体" w:hAnsi="宋体" w:cs="宋体"/>
          <w:color w:val="auto"/>
          <w:szCs w:val="24"/>
          <w:highlight w:val="none"/>
        </w:rPr>
      </w:pPr>
      <w:r>
        <w:rPr>
          <w:rFonts w:hint="eastAsia" w:ascii="宋体" w:hAnsi="宋体" w:cs="宋体"/>
          <w:color w:val="auto"/>
          <w:szCs w:val="24"/>
          <w:highlight w:val="none"/>
        </w:rPr>
        <w:t>2、我方将严格按照有关建设工程招标投标法规及招标文件的规定参加投标，并理解贵方不一定接受最低标价的投标，对决标结果也没有解释义务。</w:t>
      </w:r>
    </w:p>
    <w:p w14:paraId="1D2AA0A7">
      <w:pPr>
        <w:pStyle w:val="13"/>
        <w:adjustRightInd w:val="0"/>
        <w:snapToGrid w:val="0"/>
        <w:spacing w:line="360" w:lineRule="auto"/>
        <w:ind w:firstLine="532" w:firstLineChars="222"/>
        <w:rPr>
          <w:rFonts w:ascii="宋体" w:hAnsi="宋体" w:cs="宋体"/>
          <w:color w:val="auto"/>
          <w:szCs w:val="24"/>
          <w:highlight w:val="none"/>
        </w:rPr>
      </w:pPr>
      <w:r>
        <w:rPr>
          <w:rFonts w:hint="eastAsia" w:ascii="宋体" w:hAnsi="宋体" w:cs="宋体"/>
          <w:color w:val="auto"/>
          <w:szCs w:val="24"/>
          <w:highlight w:val="none"/>
        </w:rPr>
        <w:t>3、如由我方中标，在接到你方发出的中标通知书后在规定的时间内，按中标通知书、招标文件和本投标书的约定与你方签定监理合同，并递交招标文件中规定金额的履约保证金，履行规定的一切责任和义务。</w:t>
      </w:r>
    </w:p>
    <w:p w14:paraId="3FF6927D">
      <w:pPr>
        <w:adjustRightInd w:val="0"/>
        <w:snapToGrid w:val="0"/>
        <w:spacing w:line="360" w:lineRule="auto"/>
        <w:ind w:firstLine="532" w:firstLineChars="222"/>
        <w:rPr>
          <w:rFonts w:ascii="宋体" w:hAnsi="宋体" w:cs="宋体"/>
          <w:color w:val="auto"/>
          <w:sz w:val="24"/>
          <w:szCs w:val="24"/>
          <w:highlight w:val="none"/>
        </w:rPr>
      </w:pPr>
      <w:r>
        <w:rPr>
          <w:rFonts w:hint="eastAsia" w:ascii="宋体" w:hAnsi="宋体" w:cs="宋体"/>
          <w:color w:val="auto"/>
          <w:sz w:val="24"/>
          <w:szCs w:val="24"/>
          <w:highlight w:val="none"/>
        </w:rPr>
        <w:t>4、我方承认该投标书格式为投标书的组成部分。</w:t>
      </w:r>
    </w:p>
    <w:p w14:paraId="625CB649">
      <w:pPr>
        <w:adjustRightInd w:val="0"/>
        <w:snapToGrid w:val="0"/>
        <w:spacing w:line="360" w:lineRule="auto"/>
        <w:ind w:firstLine="530" w:firstLineChars="221"/>
        <w:rPr>
          <w:rFonts w:ascii="宋体" w:hAnsi="宋体" w:cs="宋体"/>
          <w:color w:val="auto"/>
          <w:sz w:val="24"/>
          <w:szCs w:val="24"/>
          <w:highlight w:val="none"/>
        </w:rPr>
      </w:pPr>
      <w:r>
        <w:rPr>
          <w:rFonts w:hint="eastAsia" w:ascii="宋体" w:hAnsi="宋体" w:cs="宋体"/>
          <w:color w:val="auto"/>
          <w:sz w:val="24"/>
          <w:szCs w:val="24"/>
          <w:highlight w:val="none"/>
        </w:rPr>
        <w:t>5、本投标书自递交你方之日起</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rPr>
        <w:t>天内有效，在此有效期内，全部条款内容对我方具有约束力，如中标将成为监理合同文件组成部分。</w:t>
      </w:r>
    </w:p>
    <w:p w14:paraId="44DD9A70">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6、如由我方中标，我方将委托当地检测机构对检测项目及材料进行随机抽检，费用自行承担。</w:t>
      </w:r>
    </w:p>
    <w:p w14:paraId="7FF3610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7、如由我方中标，我方承诺在监理服务期内自行解决食宿，并配备必要的交通工具和检测设备，一切费用由我方自行承担，</w:t>
      </w:r>
      <w:r>
        <w:rPr>
          <w:rFonts w:hint="eastAsia" w:ascii="宋体" w:hAnsi="宋体" w:cs="宋体"/>
          <w:color w:val="auto"/>
          <w:sz w:val="24"/>
          <w:szCs w:val="24"/>
          <w:highlight w:val="none"/>
        </w:rPr>
        <w:t>否则招标人有权扣除30%监理服务费。</w:t>
      </w:r>
    </w:p>
    <w:p w14:paraId="2F470652">
      <w:pPr>
        <w:adjustRightInd w:val="0"/>
        <w:snapToGrid w:val="0"/>
        <w:spacing w:line="360" w:lineRule="auto"/>
        <w:rPr>
          <w:rFonts w:ascii="宋体" w:hAnsi="宋体" w:cs="宋体"/>
          <w:b/>
          <w:bCs/>
          <w:color w:val="auto"/>
          <w:sz w:val="24"/>
          <w:szCs w:val="24"/>
          <w:highlight w:val="none"/>
          <w:u w:val="single"/>
        </w:rPr>
      </w:pPr>
      <w:r>
        <w:rPr>
          <w:rFonts w:hint="eastAsia" w:ascii="宋体" w:hAnsi="宋体" w:cs="宋体"/>
          <w:color w:val="auto"/>
          <w:sz w:val="24"/>
          <w:szCs w:val="24"/>
          <w:highlight w:val="none"/>
        </w:rPr>
        <w:t xml:space="preserve">     投标单位（公章）：</w:t>
      </w:r>
    </w:p>
    <w:p w14:paraId="47153987">
      <w:pPr>
        <w:adjustRightInd w:val="0"/>
        <w:snapToGrid w:val="0"/>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法定代表或授权代表（签字或盖章）：</w:t>
      </w:r>
    </w:p>
    <w:p w14:paraId="72464D52">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联系人：                联系地址：</w:t>
      </w:r>
    </w:p>
    <w:p w14:paraId="33BDAFFE">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电话：                  邮编：</w:t>
      </w:r>
    </w:p>
    <w:p w14:paraId="7DE02003">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开户银行：              帐号：</w:t>
      </w:r>
    </w:p>
    <w:p w14:paraId="6E1BD067">
      <w:pPr>
        <w:adjustRightInd w:val="0"/>
        <w:snapToGrid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6AF37406">
      <w:pPr>
        <w:spacing w:line="360" w:lineRule="auto"/>
        <w:rPr>
          <w:rFonts w:ascii="宋体" w:hAnsi="宋体" w:cs="宋体"/>
          <w:color w:val="auto"/>
          <w:sz w:val="28"/>
          <w:szCs w:val="28"/>
          <w:highlight w:val="none"/>
        </w:rPr>
      </w:pPr>
    </w:p>
    <w:p w14:paraId="1496E21C">
      <w:pPr>
        <w:spacing w:line="360" w:lineRule="auto"/>
        <w:rPr>
          <w:rFonts w:ascii="宋体" w:hAnsi="宋体" w:cs="宋体"/>
          <w:b/>
          <w:color w:val="auto"/>
          <w:sz w:val="24"/>
          <w:szCs w:val="24"/>
          <w:highlight w:val="none"/>
        </w:rPr>
      </w:pPr>
    </w:p>
    <w:p w14:paraId="2B695ABD">
      <w:pPr>
        <w:spacing w:line="360" w:lineRule="auto"/>
        <w:jc w:val="center"/>
        <w:rPr>
          <w:rFonts w:ascii="宋体" w:hAnsi="宋体" w:cs="宋体"/>
          <w:b/>
          <w:color w:val="auto"/>
          <w:sz w:val="24"/>
          <w:szCs w:val="24"/>
          <w:highlight w:val="none"/>
        </w:rPr>
      </w:pPr>
    </w:p>
    <w:p w14:paraId="707BE614">
      <w:pPr>
        <w:spacing w:line="360" w:lineRule="auto"/>
        <w:jc w:val="center"/>
        <w:rPr>
          <w:rFonts w:ascii="宋体" w:hAnsi="宋体" w:cs="宋体"/>
          <w:b/>
          <w:color w:val="auto"/>
          <w:sz w:val="24"/>
          <w:szCs w:val="24"/>
          <w:highlight w:val="none"/>
        </w:rPr>
      </w:pPr>
    </w:p>
    <w:p w14:paraId="70F86826">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监 理 费 报 价 分 析 汇 总 表</w:t>
      </w:r>
    </w:p>
    <w:p w14:paraId="43FAF5D8">
      <w:pPr>
        <w:spacing w:line="360" w:lineRule="auto"/>
        <w:jc w:val="left"/>
        <w:rPr>
          <w:rFonts w:ascii="宋体" w:hAnsi="宋体" w:cs="宋体"/>
          <w:b/>
          <w:color w:val="auto"/>
          <w:sz w:val="24"/>
          <w:szCs w:val="24"/>
          <w:highlight w:val="none"/>
        </w:rPr>
      </w:pPr>
    </w:p>
    <w:p w14:paraId="2E50BDD7">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 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58"/>
        <w:gridCol w:w="825"/>
        <w:gridCol w:w="2258"/>
        <w:gridCol w:w="1232"/>
        <w:gridCol w:w="1026"/>
        <w:gridCol w:w="1587"/>
      </w:tblGrid>
      <w:tr w14:paraId="2F71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34" w:type="dxa"/>
            <w:tcBorders>
              <w:top w:val="single" w:color="auto" w:sz="12" w:space="0"/>
              <w:left w:val="single" w:color="auto" w:sz="12" w:space="0"/>
              <w:bottom w:val="single" w:color="auto" w:sz="12" w:space="0"/>
            </w:tcBorders>
            <w:noWrap/>
            <w:vAlign w:val="center"/>
          </w:tcPr>
          <w:p w14:paraId="2E7BBFE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258" w:type="dxa"/>
            <w:tcBorders>
              <w:top w:val="single" w:color="auto" w:sz="12" w:space="0"/>
              <w:bottom w:val="single" w:color="auto" w:sz="12" w:space="0"/>
            </w:tcBorders>
            <w:noWrap/>
            <w:vAlign w:val="center"/>
          </w:tcPr>
          <w:p w14:paraId="5713E0A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费 用 名 称</w:t>
            </w:r>
          </w:p>
        </w:tc>
        <w:tc>
          <w:tcPr>
            <w:tcW w:w="825" w:type="dxa"/>
            <w:tcBorders>
              <w:top w:val="single" w:color="auto" w:sz="12" w:space="0"/>
              <w:bottom w:val="single" w:color="auto" w:sz="12" w:space="0"/>
            </w:tcBorders>
            <w:noWrap/>
            <w:vAlign w:val="center"/>
          </w:tcPr>
          <w:p w14:paraId="3FF7CE7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2258" w:type="dxa"/>
            <w:tcBorders>
              <w:top w:val="single" w:color="auto" w:sz="12" w:space="0"/>
              <w:bottom w:val="single" w:color="auto" w:sz="12" w:space="0"/>
            </w:tcBorders>
            <w:noWrap/>
            <w:vAlign w:val="center"/>
          </w:tcPr>
          <w:p w14:paraId="004C96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计 算 依 据</w:t>
            </w:r>
          </w:p>
        </w:tc>
        <w:tc>
          <w:tcPr>
            <w:tcW w:w="1232" w:type="dxa"/>
            <w:tcBorders>
              <w:top w:val="single" w:color="auto" w:sz="12" w:space="0"/>
              <w:bottom w:val="single" w:color="auto" w:sz="12" w:space="0"/>
            </w:tcBorders>
            <w:noWrap/>
            <w:vAlign w:val="center"/>
          </w:tcPr>
          <w:p w14:paraId="6A4A80A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  价</w:t>
            </w:r>
          </w:p>
          <w:p w14:paraId="14A3F94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1026" w:type="dxa"/>
            <w:tcBorders>
              <w:top w:val="single" w:color="auto" w:sz="12" w:space="0"/>
              <w:bottom w:val="single" w:color="auto" w:sz="12" w:space="0"/>
            </w:tcBorders>
            <w:noWrap/>
            <w:vAlign w:val="center"/>
          </w:tcPr>
          <w:p w14:paraId="69E20C9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 量</w:t>
            </w:r>
          </w:p>
        </w:tc>
        <w:tc>
          <w:tcPr>
            <w:tcW w:w="1587" w:type="dxa"/>
            <w:tcBorders>
              <w:top w:val="single" w:color="auto" w:sz="12" w:space="0"/>
              <w:bottom w:val="single" w:color="auto" w:sz="12" w:space="0"/>
              <w:right w:val="single" w:color="auto" w:sz="12" w:space="0"/>
            </w:tcBorders>
            <w:noWrap/>
            <w:vAlign w:val="center"/>
          </w:tcPr>
          <w:p w14:paraId="7144775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  价</w:t>
            </w:r>
          </w:p>
          <w:p w14:paraId="0986493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r>
      <w:tr w14:paraId="65F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34" w:type="dxa"/>
            <w:tcBorders>
              <w:top w:val="single" w:color="auto" w:sz="12" w:space="0"/>
              <w:left w:val="single" w:color="auto" w:sz="12" w:space="0"/>
            </w:tcBorders>
            <w:noWrap/>
            <w:vAlign w:val="center"/>
          </w:tcPr>
          <w:p w14:paraId="303D27E8">
            <w:pPr>
              <w:spacing w:line="360" w:lineRule="auto"/>
              <w:jc w:val="left"/>
              <w:rPr>
                <w:rFonts w:ascii="宋体" w:hAnsi="宋体" w:cs="宋体"/>
                <w:color w:val="auto"/>
                <w:sz w:val="24"/>
                <w:szCs w:val="24"/>
                <w:highlight w:val="none"/>
              </w:rPr>
            </w:pPr>
          </w:p>
        </w:tc>
        <w:tc>
          <w:tcPr>
            <w:tcW w:w="2258" w:type="dxa"/>
            <w:tcBorders>
              <w:top w:val="single" w:color="auto" w:sz="12" w:space="0"/>
            </w:tcBorders>
            <w:noWrap/>
            <w:vAlign w:val="center"/>
          </w:tcPr>
          <w:p w14:paraId="51CD32E2">
            <w:pPr>
              <w:spacing w:line="360" w:lineRule="auto"/>
              <w:jc w:val="left"/>
              <w:rPr>
                <w:rFonts w:ascii="宋体" w:hAnsi="宋体" w:cs="宋体"/>
                <w:color w:val="auto"/>
                <w:sz w:val="24"/>
                <w:szCs w:val="24"/>
                <w:highlight w:val="none"/>
              </w:rPr>
            </w:pPr>
          </w:p>
        </w:tc>
        <w:tc>
          <w:tcPr>
            <w:tcW w:w="825" w:type="dxa"/>
            <w:tcBorders>
              <w:top w:val="single" w:color="auto" w:sz="12" w:space="0"/>
            </w:tcBorders>
            <w:noWrap/>
            <w:vAlign w:val="center"/>
          </w:tcPr>
          <w:p w14:paraId="36DD0163">
            <w:pPr>
              <w:spacing w:line="360" w:lineRule="auto"/>
              <w:jc w:val="left"/>
              <w:rPr>
                <w:rFonts w:ascii="宋体" w:hAnsi="宋体" w:cs="宋体"/>
                <w:color w:val="auto"/>
                <w:sz w:val="24"/>
                <w:szCs w:val="24"/>
                <w:highlight w:val="none"/>
              </w:rPr>
            </w:pPr>
          </w:p>
        </w:tc>
        <w:tc>
          <w:tcPr>
            <w:tcW w:w="2258" w:type="dxa"/>
            <w:tcBorders>
              <w:top w:val="single" w:color="auto" w:sz="12" w:space="0"/>
            </w:tcBorders>
            <w:noWrap/>
            <w:vAlign w:val="center"/>
          </w:tcPr>
          <w:p w14:paraId="1E14D872">
            <w:pPr>
              <w:spacing w:line="360" w:lineRule="auto"/>
              <w:jc w:val="left"/>
              <w:rPr>
                <w:rFonts w:ascii="宋体" w:hAnsi="宋体" w:cs="宋体"/>
                <w:color w:val="auto"/>
                <w:sz w:val="24"/>
                <w:szCs w:val="24"/>
                <w:highlight w:val="none"/>
              </w:rPr>
            </w:pPr>
          </w:p>
        </w:tc>
        <w:tc>
          <w:tcPr>
            <w:tcW w:w="1232" w:type="dxa"/>
            <w:tcBorders>
              <w:top w:val="single" w:color="auto" w:sz="12" w:space="0"/>
            </w:tcBorders>
            <w:noWrap/>
            <w:vAlign w:val="center"/>
          </w:tcPr>
          <w:p w14:paraId="75BBEACC">
            <w:pPr>
              <w:spacing w:line="360" w:lineRule="auto"/>
              <w:jc w:val="left"/>
              <w:rPr>
                <w:rFonts w:ascii="宋体" w:hAnsi="宋体" w:cs="宋体"/>
                <w:color w:val="auto"/>
                <w:sz w:val="24"/>
                <w:szCs w:val="24"/>
                <w:highlight w:val="none"/>
              </w:rPr>
            </w:pPr>
          </w:p>
        </w:tc>
        <w:tc>
          <w:tcPr>
            <w:tcW w:w="1026" w:type="dxa"/>
            <w:tcBorders>
              <w:top w:val="single" w:color="auto" w:sz="12" w:space="0"/>
            </w:tcBorders>
            <w:noWrap/>
            <w:vAlign w:val="center"/>
          </w:tcPr>
          <w:p w14:paraId="13751FEA">
            <w:pPr>
              <w:spacing w:line="360" w:lineRule="auto"/>
              <w:jc w:val="left"/>
              <w:rPr>
                <w:rFonts w:ascii="宋体" w:hAnsi="宋体" w:cs="宋体"/>
                <w:color w:val="auto"/>
                <w:sz w:val="24"/>
                <w:szCs w:val="24"/>
                <w:highlight w:val="none"/>
              </w:rPr>
            </w:pPr>
          </w:p>
        </w:tc>
        <w:tc>
          <w:tcPr>
            <w:tcW w:w="1587" w:type="dxa"/>
            <w:tcBorders>
              <w:top w:val="single" w:color="auto" w:sz="12" w:space="0"/>
              <w:right w:val="single" w:color="auto" w:sz="12" w:space="0"/>
            </w:tcBorders>
            <w:noWrap/>
            <w:vAlign w:val="center"/>
          </w:tcPr>
          <w:p w14:paraId="1DB487C1">
            <w:pPr>
              <w:spacing w:line="360" w:lineRule="auto"/>
              <w:jc w:val="left"/>
              <w:rPr>
                <w:rFonts w:ascii="宋体" w:hAnsi="宋体" w:cs="宋体"/>
                <w:color w:val="auto"/>
                <w:sz w:val="24"/>
                <w:szCs w:val="24"/>
                <w:highlight w:val="none"/>
              </w:rPr>
            </w:pPr>
          </w:p>
        </w:tc>
      </w:tr>
      <w:tr w14:paraId="32EA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7B424295">
            <w:pPr>
              <w:spacing w:line="360" w:lineRule="auto"/>
              <w:jc w:val="left"/>
              <w:rPr>
                <w:rFonts w:ascii="宋体" w:hAnsi="宋体" w:cs="宋体"/>
                <w:color w:val="auto"/>
                <w:sz w:val="24"/>
                <w:szCs w:val="24"/>
                <w:highlight w:val="none"/>
              </w:rPr>
            </w:pPr>
          </w:p>
        </w:tc>
        <w:tc>
          <w:tcPr>
            <w:tcW w:w="2258" w:type="dxa"/>
            <w:noWrap/>
            <w:vAlign w:val="center"/>
          </w:tcPr>
          <w:p w14:paraId="61021A5A">
            <w:pPr>
              <w:spacing w:line="360" w:lineRule="auto"/>
              <w:jc w:val="left"/>
              <w:rPr>
                <w:rFonts w:ascii="宋体" w:hAnsi="宋体" w:cs="宋体"/>
                <w:color w:val="auto"/>
                <w:sz w:val="24"/>
                <w:szCs w:val="24"/>
                <w:highlight w:val="none"/>
              </w:rPr>
            </w:pPr>
          </w:p>
        </w:tc>
        <w:tc>
          <w:tcPr>
            <w:tcW w:w="825" w:type="dxa"/>
            <w:noWrap/>
            <w:vAlign w:val="center"/>
          </w:tcPr>
          <w:p w14:paraId="6A9D1860">
            <w:pPr>
              <w:spacing w:line="360" w:lineRule="auto"/>
              <w:jc w:val="left"/>
              <w:rPr>
                <w:rFonts w:ascii="宋体" w:hAnsi="宋体" w:cs="宋体"/>
                <w:color w:val="auto"/>
                <w:sz w:val="24"/>
                <w:szCs w:val="24"/>
                <w:highlight w:val="none"/>
              </w:rPr>
            </w:pPr>
          </w:p>
        </w:tc>
        <w:tc>
          <w:tcPr>
            <w:tcW w:w="2258" w:type="dxa"/>
            <w:noWrap/>
            <w:vAlign w:val="center"/>
          </w:tcPr>
          <w:p w14:paraId="47D5E3F2">
            <w:pPr>
              <w:spacing w:line="360" w:lineRule="auto"/>
              <w:jc w:val="left"/>
              <w:rPr>
                <w:rFonts w:ascii="宋体" w:hAnsi="宋体" w:cs="宋体"/>
                <w:color w:val="auto"/>
                <w:sz w:val="24"/>
                <w:szCs w:val="24"/>
                <w:highlight w:val="none"/>
              </w:rPr>
            </w:pPr>
          </w:p>
        </w:tc>
        <w:tc>
          <w:tcPr>
            <w:tcW w:w="1232" w:type="dxa"/>
            <w:noWrap/>
            <w:vAlign w:val="center"/>
          </w:tcPr>
          <w:p w14:paraId="1CFF7B9B">
            <w:pPr>
              <w:spacing w:line="360" w:lineRule="auto"/>
              <w:jc w:val="left"/>
              <w:rPr>
                <w:rFonts w:ascii="宋体" w:hAnsi="宋体" w:cs="宋体"/>
                <w:color w:val="auto"/>
                <w:sz w:val="24"/>
                <w:szCs w:val="24"/>
                <w:highlight w:val="none"/>
              </w:rPr>
            </w:pPr>
          </w:p>
        </w:tc>
        <w:tc>
          <w:tcPr>
            <w:tcW w:w="1026" w:type="dxa"/>
            <w:noWrap/>
            <w:vAlign w:val="center"/>
          </w:tcPr>
          <w:p w14:paraId="661A643C">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54364E4C">
            <w:pPr>
              <w:spacing w:line="360" w:lineRule="auto"/>
              <w:jc w:val="left"/>
              <w:rPr>
                <w:rFonts w:ascii="宋体" w:hAnsi="宋体" w:cs="宋体"/>
                <w:color w:val="auto"/>
                <w:sz w:val="24"/>
                <w:szCs w:val="24"/>
                <w:highlight w:val="none"/>
              </w:rPr>
            </w:pPr>
          </w:p>
        </w:tc>
      </w:tr>
      <w:tr w14:paraId="08D0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6D63DCFE">
            <w:pPr>
              <w:spacing w:line="360" w:lineRule="auto"/>
              <w:jc w:val="left"/>
              <w:rPr>
                <w:rFonts w:ascii="宋体" w:hAnsi="宋体" w:cs="宋体"/>
                <w:color w:val="auto"/>
                <w:sz w:val="24"/>
                <w:szCs w:val="24"/>
                <w:highlight w:val="none"/>
              </w:rPr>
            </w:pPr>
          </w:p>
        </w:tc>
        <w:tc>
          <w:tcPr>
            <w:tcW w:w="2258" w:type="dxa"/>
            <w:noWrap/>
            <w:vAlign w:val="center"/>
          </w:tcPr>
          <w:p w14:paraId="2150E00B">
            <w:pPr>
              <w:spacing w:line="360" w:lineRule="auto"/>
              <w:jc w:val="left"/>
              <w:rPr>
                <w:rFonts w:ascii="宋体" w:hAnsi="宋体" w:cs="宋体"/>
                <w:color w:val="auto"/>
                <w:sz w:val="24"/>
                <w:szCs w:val="24"/>
                <w:highlight w:val="none"/>
              </w:rPr>
            </w:pPr>
          </w:p>
        </w:tc>
        <w:tc>
          <w:tcPr>
            <w:tcW w:w="825" w:type="dxa"/>
            <w:noWrap/>
            <w:vAlign w:val="center"/>
          </w:tcPr>
          <w:p w14:paraId="49442523">
            <w:pPr>
              <w:spacing w:line="360" w:lineRule="auto"/>
              <w:jc w:val="left"/>
              <w:rPr>
                <w:rFonts w:ascii="宋体" w:hAnsi="宋体" w:cs="宋体"/>
                <w:color w:val="auto"/>
                <w:sz w:val="24"/>
                <w:szCs w:val="24"/>
                <w:highlight w:val="none"/>
              </w:rPr>
            </w:pPr>
          </w:p>
        </w:tc>
        <w:tc>
          <w:tcPr>
            <w:tcW w:w="2258" w:type="dxa"/>
            <w:noWrap/>
            <w:vAlign w:val="center"/>
          </w:tcPr>
          <w:p w14:paraId="49640CAF">
            <w:pPr>
              <w:spacing w:line="360" w:lineRule="auto"/>
              <w:jc w:val="left"/>
              <w:rPr>
                <w:rFonts w:ascii="宋体" w:hAnsi="宋体" w:cs="宋体"/>
                <w:color w:val="auto"/>
                <w:sz w:val="24"/>
                <w:szCs w:val="24"/>
                <w:highlight w:val="none"/>
              </w:rPr>
            </w:pPr>
          </w:p>
        </w:tc>
        <w:tc>
          <w:tcPr>
            <w:tcW w:w="1232" w:type="dxa"/>
            <w:noWrap/>
            <w:vAlign w:val="center"/>
          </w:tcPr>
          <w:p w14:paraId="0C46EFD6">
            <w:pPr>
              <w:spacing w:line="360" w:lineRule="auto"/>
              <w:jc w:val="left"/>
              <w:rPr>
                <w:rFonts w:ascii="宋体" w:hAnsi="宋体" w:cs="宋体"/>
                <w:color w:val="auto"/>
                <w:sz w:val="24"/>
                <w:szCs w:val="24"/>
                <w:highlight w:val="none"/>
              </w:rPr>
            </w:pPr>
          </w:p>
        </w:tc>
        <w:tc>
          <w:tcPr>
            <w:tcW w:w="1026" w:type="dxa"/>
            <w:noWrap/>
            <w:vAlign w:val="center"/>
          </w:tcPr>
          <w:p w14:paraId="1FBA0366">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56816F97">
            <w:pPr>
              <w:spacing w:line="360" w:lineRule="auto"/>
              <w:jc w:val="left"/>
              <w:rPr>
                <w:rFonts w:ascii="宋体" w:hAnsi="宋体" w:cs="宋体"/>
                <w:color w:val="auto"/>
                <w:sz w:val="24"/>
                <w:szCs w:val="24"/>
                <w:highlight w:val="none"/>
              </w:rPr>
            </w:pPr>
          </w:p>
        </w:tc>
      </w:tr>
      <w:tr w14:paraId="2A9D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6A038B9D">
            <w:pPr>
              <w:spacing w:line="360" w:lineRule="auto"/>
              <w:jc w:val="left"/>
              <w:rPr>
                <w:rFonts w:ascii="宋体" w:hAnsi="宋体" w:cs="宋体"/>
                <w:color w:val="auto"/>
                <w:sz w:val="24"/>
                <w:szCs w:val="24"/>
                <w:highlight w:val="none"/>
              </w:rPr>
            </w:pPr>
          </w:p>
        </w:tc>
        <w:tc>
          <w:tcPr>
            <w:tcW w:w="2258" w:type="dxa"/>
            <w:noWrap/>
            <w:vAlign w:val="center"/>
          </w:tcPr>
          <w:p w14:paraId="73DD4B25">
            <w:pPr>
              <w:spacing w:line="360" w:lineRule="auto"/>
              <w:jc w:val="left"/>
              <w:rPr>
                <w:rFonts w:ascii="宋体" w:hAnsi="宋体" w:cs="宋体"/>
                <w:color w:val="auto"/>
                <w:sz w:val="24"/>
                <w:szCs w:val="24"/>
                <w:highlight w:val="none"/>
              </w:rPr>
            </w:pPr>
          </w:p>
        </w:tc>
        <w:tc>
          <w:tcPr>
            <w:tcW w:w="825" w:type="dxa"/>
            <w:noWrap/>
            <w:vAlign w:val="center"/>
          </w:tcPr>
          <w:p w14:paraId="408765C6">
            <w:pPr>
              <w:spacing w:line="360" w:lineRule="auto"/>
              <w:jc w:val="left"/>
              <w:rPr>
                <w:rFonts w:ascii="宋体" w:hAnsi="宋体" w:cs="宋体"/>
                <w:color w:val="auto"/>
                <w:sz w:val="24"/>
                <w:szCs w:val="24"/>
                <w:highlight w:val="none"/>
              </w:rPr>
            </w:pPr>
          </w:p>
        </w:tc>
        <w:tc>
          <w:tcPr>
            <w:tcW w:w="2258" w:type="dxa"/>
            <w:noWrap/>
            <w:vAlign w:val="center"/>
          </w:tcPr>
          <w:p w14:paraId="4C68BF05">
            <w:pPr>
              <w:spacing w:line="360" w:lineRule="auto"/>
              <w:jc w:val="left"/>
              <w:rPr>
                <w:rFonts w:ascii="宋体" w:hAnsi="宋体" w:cs="宋体"/>
                <w:color w:val="auto"/>
                <w:sz w:val="24"/>
                <w:szCs w:val="24"/>
                <w:highlight w:val="none"/>
              </w:rPr>
            </w:pPr>
          </w:p>
        </w:tc>
        <w:tc>
          <w:tcPr>
            <w:tcW w:w="1232" w:type="dxa"/>
            <w:noWrap/>
            <w:vAlign w:val="center"/>
          </w:tcPr>
          <w:p w14:paraId="23328786">
            <w:pPr>
              <w:spacing w:line="360" w:lineRule="auto"/>
              <w:jc w:val="left"/>
              <w:rPr>
                <w:rFonts w:ascii="宋体" w:hAnsi="宋体" w:cs="宋体"/>
                <w:color w:val="auto"/>
                <w:sz w:val="24"/>
                <w:szCs w:val="24"/>
                <w:highlight w:val="none"/>
              </w:rPr>
            </w:pPr>
          </w:p>
        </w:tc>
        <w:tc>
          <w:tcPr>
            <w:tcW w:w="1026" w:type="dxa"/>
            <w:noWrap/>
            <w:vAlign w:val="center"/>
          </w:tcPr>
          <w:p w14:paraId="71EDCE0A">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6DBEDFF6">
            <w:pPr>
              <w:spacing w:line="360" w:lineRule="auto"/>
              <w:jc w:val="left"/>
              <w:rPr>
                <w:rFonts w:ascii="宋体" w:hAnsi="宋体" w:cs="宋体"/>
                <w:color w:val="auto"/>
                <w:sz w:val="24"/>
                <w:szCs w:val="24"/>
                <w:highlight w:val="none"/>
              </w:rPr>
            </w:pPr>
          </w:p>
        </w:tc>
      </w:tr>
      <w:tr w14:paraId="52BE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0EE9D1C4">
            <w:pPr>
              <w:spacing w:line="360" w:lineRule="auto"/>
              <w:jc w:val="left"/>
              <w:rPr>
                <w:rFonts w:ascii="宋体" w:hAnsi="宋体" w:cs="宋体"/>
                <w:color w:val="auto"/>
                <w:sz w:val="24"/>
                <w:szCs w:val="24"/>
                <w:highlight w:val="none"/>
              </w:rPr>
            </w:pPr>
          </w:p>
        </w:tc>
        <w:tc>
          <w:tcPr>
            <w:tcW w:w="2258" w:type="dxa"/>
            <w:noWrap/>
            <w:vAlign w:val="center"/>
          </w:tcPr>
          <w:p w14:paraId="1A437992">
            <w:pPr>
              <w:spacing w:line="360" w:lineRule="auto"/>
              <w:jc w:val="left"/>
              <w:rPr>
                <w:rFonts w:ascii="宋体" w:hAnsi="宋体" w:cs="宋体"/>
                <w:color w:val="auto"/>
                <w:sz w:val="24"/>
                <w:szCs w:val="24"/>
                <w:highlight w:val="none"/>
              </w:rPr>
            </w:pPr>
          </w:p>
        </w:tc>
        <w:tc>
          <w:tcPr>
            <w:tcW w:w="825" w:type="dxa"/>
            <w:noWrap/>
            <w:vAlign w:val="center"/>
          </w:tcPr>
          <w:p w14:paraId="07F3F6A9">
            <w:pPr>
              <w:spacing w:line="360" w:lineRule="auto"/>
              <w:jc w:val="left"/>
              <w:rPr>
                <w:rFonts w:ascii="宋体" w:hAnsi="宋体" w:cs="宋体"/>
                <w:color w:val="auto"/>
                <w:sz w:val="24"/>
                <w:szCs w:val="24"/>
                <w:highlight w:val="none"/>
              </w:rPr>
            </w:pPr>
          </w:p>
        </w:tc>
        <w:tc>
          <w:tcPr>
            <w:tcW w:w="2258" w:type="dxa"/>
            <w:noWrap/>
            <w:vAlign w:val="center"/>
          </w:tcPr>
          <w:p w14:paraId="68FA4E4D">
            <w:pPr>
              <w:spacing w:line="360" w:lineRule="auto"/>
              <w:jc w:val="left"/>
              <w:rPr>
                <w:rFonts w:ascii="宋体" w:hAnsi="宋体" w:cs="宋体"/>
                <w:color w:val="auto"/>
                <w:sz w:val="24"/>
                <w:szCs w:val="24"/>
                <w:highlight w:val="none"/>
              </w:rPr>
            </w:pPr>
          </w:p>
        </w:tc>
        <w:tc>
          <w:tcPr>
            <w:tcW w:w="1232" w:type="dxa"/>
            <w:noWrap/>
            <w:vAlign w:val="center"/>
          </w:tcPr>
          <w:p w14:paraId="3939A394">
            <w:pPr>
              <w:spacing w:line="360" w:lineRule="auto"/>
              <w:jc w:val="left"/>
              <w:rPr>
                <w:rFonts w:ascii="宋体" w:hAnsi="宋体" w:cs="宋体"/>
                <w:color w:val="auto"/>
                <w:sz w:val="24"/>
                <w:szCs w:val="24"/>
                <w:highlight w:val="none"/>
              </w:rPr>
            </w:pPr>
          </w:p>
        </w:tc>
        <w:tc>
          <w:tcPr>
            <w:tcW w:w="1026" w:type="dxa"/>
            <w:noWrap/>
            <w:vAlign w:val="center"/>
          </w:tcPr>
          <w:p w14:paraId="482934B9">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4EF53A37">
            <w:pPr>
              <w:spacing w:line="360" w:lineRule="auto"/>
              <w:jc w:val="left"/>
              <w:rPr>
                <w:rFonts w:ascii="宋体" w:hAnsi="宋体" w:cs="宋体"/>
                <w:color w:val="auto"/>
                <w:sz w:val="24"/>
                <w:szCs w:val="24"/>
                <w:highlight w:val="none"/>
              </w:rPr>
            </w:pPr>
          </w:p>
        </w:tc>
      </w:tr>
      <w:tr w14:paraId="5117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663F9036">
            <w:pPr>
              <w:spacing w:line="360" w:lineRule="auto"/>
              <w:jc w:val="left"/>
              <w:rPr>
                <w:rFonts w:ascii="宋体" w:hAnsi="宋体" w:cs="宋体"/>
                <w:color w:val="auto"/>
                <w:sz w:val="24"/>
                <w:szCs w:val="24"/>
                <w:highlight w:val="none"/>
              </w:rPr>
            </w:pPr>
          </w:p>
        </w:tc>
        <w:tc>
          <w:tcPr>
            <w:tcW w:w="2258" w:type="dxa"/>
            <w:noWrap/>
            <w:vAlign w:val="center"/>
          </w:tcPr>
          <w:p w14:paraId="3CA4C964">
            <w:pPr>
              <w:spacing w:line="360" w:lineRule="auto"/>
              <w:jc w:val="left"/>
              <w:rPr>
                <w:rFonts w:ascii="宋体" w:hAnsi="宋体" w:cs="宋体"/>
                <w:color w:val="auto"/>
                <w:sz w:val="24"/>
                <w:szCs w:val="24"/>
                <w:highlight w:val="none"/>
              </w:rPr>
            </w:pPr>
          </w:p>
        </w:tc>
        <w:tc>
          <w:tcPr>
            <w:tcW w:w="825" w:type="dxa"/>
            <w:noWrap/>
            <w:vAlign w:val="center"/>
          </w:tcPr>
          <w:p w14:paraId="12D19715">
            <w:pPr>
              <w:spacing w:line="360" w:lineRule="auto"/>
              <w:jc w:val="left"/>
              <w:rPr>
                <w:rFonts w:ascii="宋体" w:hAnsi="宋体" w:cs="宋体"/>
                <w:color w:val="auto"/>
                <w:sz w:val="24"/>
                <w:szCs w:val="24"/>
                <w:highlight w:val="none"/>
              </w:rPr>
            </w:pPr>
          </w:p>
        </w:tc>
        <w:tc>
          <w:tcPr>
            <w:tcW w:w="2258" w:type="dxa"/>
            <w:noWrap/>
            <w:vAlign w:val="center"/>
          </w:tcPr>
          <w:p w14:paraId="5E001347">
            <w:pPr>
              <w:spacing w:line="360" w:lineRule="auto"/>
              <w:jc w:val="left"/>
              <w:rPr>
                <w:rFonts w:ascii="宋体" w:hAnsi="宋体" w:cs="宋体"/>
                <w:color w:val="auto"/>
                <w:sz w:val="24"/>
                <w:szCs w:val="24"/>
                <w:highlight w:val="none"/>
              </w:rPr>
            </w:pPr>
          </w:p>
        </w:tc>
        <w:tc>
          <w:tcPr>
            <w:tcW w:w="1232" w:type="dxa"/>
            <w:noWrap/>
            <w:vAlign w:val="center"/>
          </w:tcPr>
          <w:p w14:paraId="4E311396">
            <w:pPr>
              <w:spacing w:line="360" w:lineRule="auto"/>
              <w:jc w:val="left"/>
              <w:rPr>
                <w:rFonts w:ascii="宋体" w:hAnsi="宋体" w:cs="宋体"/>
                <w:color w:val="auto"/>
                <w:sz w:val="24"/>
                <w:szCs w:val="24"/>
                <w:highlight w:val="none"/>
              </w:rPr>
            </w:pPr>
          </w:p>
        </w:tc>
        <w:tc>
          <w:tcPr>
            <w:tcW w:w="1026" w:type="dxa"/>
            <w:noWrap/>
            <w:vAlign w:val="center"/>
          </w:tcPr>
          <w:p w14:paraId="747A1B00">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69B93FD7">
            <w:pPr>
              <w:spacing w:line="360" w:lineRule="auto"/>
              <w:jc w:val="left"/>
              <w:rPr>
                <w:rFonts w:ascii="宋体" w:hAnsi="宋体" w:cs="宋体"/>
                <w:color w:val="auto"/>
                <w:sz w:val="24"/>
                <w:szCs w:val="24"/>
                <w:highlight w:val="none"/>
              </w:rPr>
            </w:pPr>
          </w:p>
        </w:tc>
      </w:tr>
      <w:tr w14:paraId="3FCE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0EE793AA">
            <w:pPr>
              <w:spacing w:line="360" w:lineRule="auto"/>
              <w:jc w:val="left"/>
              <w:rPr>
                <w:rFonts w:ascii="宋体" w:hAnsi="宋体" w:cs="宋体"/>
                <w:color w:val="auto"/>
                <w:sz w:val="24"/>
                <w:szCs w:val="24"/>
                <w:highlight w:val="none"/>
              </w:rPr>
            </w:pPr>
          </w:p>
        </w:tc>
        <w:tc>
          <w:tcPr>
            <w:tcW w:w="2258" w:type="dxa"/>
            <w:noWrap/>
            <w:vAlign w:val="center"/>
          </w:tcPr>
          <w:p w14:paraId="23A02AD3">
            <w:pPr>
              <w:spacing w:line="360" w:lineRule="auto"/>
              <w:jc w:val="left"/>
              <w:rPr>
                <w:rFonts w:ascii="宋体" w:hAnsi="宋体" w:cs="宋体"/>
                <w:color w:val="auto"/>
                <w:sz w:val="24"/>
                <w:szCs w:val="24"/>
                <w:highlight w:val="none"/>
              </w:rPr>
            </w:pPr>
          </w:p>
        </w:tc>
        <w:tc>
          <w:tcPr>
            <w:tcW w:w="825" w:type="dxa"/>
            <w:noWrap/>
            <w:vAlign w:val="center"/>
          </w:tcPr>
          <w:p w14:paraId="4999AAAE">
            <w:pPr>
              <w:spacing w:line="360" w:lineRule="auto"/>
              <w:jc w:val="left"/>
              <w:rPr>
                <w:rFonts w:ascii="宋体" w:hAnsi="宋体" w:cs="宋体"/>
                <w:color w:val="auto"/>
                <w:sz w:val="24"/>
                <w:szCs w:val="24"/>
                <w:highlight w:val="none"/>
              </w:rPr>
            </w:pPr>
          </w:p>
        </w:tc>
        <w:tc>
          <w:tcPr>
            <w:tcW w:w="2258" w:type="dxa"/>
            <w:noWrap/>
            <w:vAlign w:val="center"/>
          </w:tcPr>
          <w:p w14:paraId="77F32769">
            <w:pPr>
              <w:spacing w:line="360" w:lineRule="auto"/>
              <w:jc w:val="left"/>
              <w:rPr>
                <w:rFonts w:ascii="宋体" w:hAnsi="宋体" w:cs="宋体"/>
                <w:color w:val="auto"/>
                <w:sz w:val="24"/>
                <w:szCs w:val="24"/>
                <w:highlight w:val="none"/>
              </w:rPr>
            </w:pPr>
          </w:p>
        </w:tc>
        <w:tc>
          <w:tcPr>
            <w:tcW w:w="1232" w:type="dxa"/>
            <w:noWrap/>
            <w:vAlign w:val="center"/>
          </w:tcPr>
          <w:p w14:paraId="2F68BFE8">
            <w:pPr>
              <w:spacing w:line="360" w:lineRule="auto"/>
              <w:jc w:val="left"/>
              <w:rPr>
                <w:rFonts w:ascii="宋体" w:hAnsi="宋体" w:cs="宋体"/>
                <w:color w:val="auto"/>
                <w:sz w:val="24"/>
                <w:szCs w:val="24"/>
                <w:highlight w:val="none"/>
              </w:rPr>
            </w:pPr>
          </w:p>
        </w:tc>
        <w:tc>
          <w:tcPr>
            <w:tcW w:w="1026" w:type="dxa"/>
            <w:noWrap/>
            <w:vAlign w:val="center"/>
          </w:tcPr>
          <w:p w14:paraId="039BBE76">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67D4F31E">
            <w:pPr>
              <w:spacing w:line="360" w:lineRule="auto"/>
              <w:jc w:val="left"/>
              <w:rPr>
                <w:rFonts w:ascii="宋体" w:hAnsi="宋体" w:cs="宋体"/>
                <w:color w:val="auto"/>
                <w:sz w:val="24"/>
                <w:szCs w:val="24"/>
                <w:highlight w:val="none"/>
              </w:rPr>
            </w:pPr>
          </w:p>
        </w:tc>
      </w:tr>
      <w:tr w14:paraId="4846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10E54563">
            <w:pPr>
              <w:spacing w:line="360" w:lineRule="auto"/>
              <w:jc w:val="left"/>
              <w:rPr>
                <w:rFonts w:ascii="宋体" w:hAnsi="宋体" w:cs="宋体"/>
                <w:color w:val="auto"/>
                <w:sz w:val="24"/>
                <w:szCs w:val="24"/>
                <w:highlight w:val="none"/>
              </w:rPr>
            </w:pPr>
          </w:p>
        </w:tc>
        <w:tc>
          <w:tcPr>
            <w:tcW w:w="2258" w:type="dxa"/>
            <w:noWrap/>
            <w:vAlign w:val="center"/>
          </w:tcPr>
          <w:p w14:paraId="45264B4A">
            <w:pPr>
              <w:spacing w:line="360" w:lineRule="auto"/>
              <w:jc w:val="left"/>
              <w:rPr>
                <w:rFonts w:ascii="宋体" w:hAnsi="宋体" w:cs="宋体"/>
                <w:color w:val="auto"/>
                <w:sz w:val="24"/>
                <w:szCs w:val="24"/>
                <w:highlight w:val="none"/>
              </w:rPr>
            </w:pPr>
          </w:p>
        </w:tc>
        <w:tc>
          <w:tcPr>
            <w:tcW w:w="825" w:type="dxa"/>
            <w:noWrap/>
            <w:vAlign w:val="center"/>
          </w:tcPr>
          <w:p w14:paraId="486E28BE">
            <w:pPr>
              <w:spacing w:line="360" w:lineRule="auto"/>
              <w:jc w:val="left"/>
              <w:rPr>
                <w:rFonts w:ascii="宋体" w:hAnsi="宋体" w:cs="宋体"/>
                <w:color w:val="auto"/>
                <w:sz w:val="24"/>
                <w:szCs w:val="24"/>
                <w:highlight w:val="none"/>
              </w:rPr>
            </w:pPr>
          </w:p>
        </w:tc>
        <w:tc>
          <w:tcPr>
            <w:tcW w:w="2258" w:type="dxa"/>
            <w:noWrap/>
            <w:vAlign w:val="center"/>
          </w:tcPr>
          <w:p w14:paraId="0A99B4A9">
            <w:pPr>
              <w:spacing w:line="360" w:lineRule="auto"/>
              <w:jc w:val="left"/>
              <w:rPr>
                <w:rFonts w:ascii="宋体" w:hAnsi="宋体" w:cs="宋体"/>
                <w:color w:val="auto"/>
                <w:sz w:val="24"/>
                <w:szCs w:val="24"/>
                <w:highlight w:val="none"/>
              </w:rPr>
            </w:pPr>
          </w:p>
        </w:tc>
        <w:tc>
          <w:tcPr>
            <w:tcW w:w="1232" w:type="dxa"/>
            <w:noWrap/>
            <w:vAlign w:val="center"/>
          </w:tcPr>
          <w:p w14:paraId="58D471A3">
            <w:pPr>
              <w:spacing w:line="360" w:lineRule="auto"/>
              <w:jc w:val="left"/>
              <w:rPr>
                <w:rFonts w:ascii="宋体" w:hAnsi="宋体" w:cs="宋体"/>
                <w:color w:val="auto"/>
                <w:sz w:val="24"/>
                <w:szCs w:val="24"/>
                <w:highlight w:val="none"/>
              </w:rPr>
            </w:pPr>
          </w:p>
        </w:tc>
        <w:tc>
          <w:tcPr>
            <w:tcW w:w="1026" w:type="dxa"/>
            <w:noWrap/>
            <w:vAlign w:val="center"/>
          </w:tcPr>
          <w:p w14:paraId="66B93CAD">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4AB2EECF">
            <w:pPr>
              <w:spacing w:line="360" w:lineRule="auto"/>
              <w:jc w:val="left"/>
              <w:rPr>
                <w:rFonts w:ascii="宋体" w:hAnsi="宋体" w:cs="宋体"/>
                <w:color w:val="auto"/>
                <w:sz w:val="24"/>
                <w:szCs w:val="24"/>
                <w:highlight w:val="none"/>
              </w:rPr>
            </w:pPr>
          </w:p>
        </w:tc>
      </w:tr>
      <w:tr w14:paraId="3813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78503B3A">
            <w:pPr>
              <w:spacing w:line="360" w:lineRule="auto"/>
              <w:jc w:val="left"/>
              <w:rPr>
                <w:rFonts w:ascii="宋体" w:hAnsi="宋体" w:cs="宋体"/>
                <w:color w:val="auto"/>
                <w:sz w:val="24"/>
                <w:szCs w:val="24"/>
                <w:highlight w:val="none"/>
              </w:rPr>
            </w:pPr>
          </w:p>
        </w:tc>
        <w:tc>
          <w:tcPr>
            <w:tcW w:w="2258" w:type="dxa"/>
            <w:noWrap/>
            <w:vAlign w:val="center"/>
          </w:tcPr>
          <w:p w14:paraId="3879E398">
            <w:pPr>
              <w:spacing w:line="360" w:lineRule="auto"/>
              <w:jc w:val="left"/>
              <w:rPr>
                <w:rFonts w:ascii="宋体" w:hAnsi="宋体" w:cs="宋体"/>
                <w:color w:val="auto"/>
                <w:sz w:val="24"/>
                <w:szCs w:val="24"/>
                <w:highlight w:val="none"/>
              </w:rPr>
            </w:pPr>
          </w:p>
        </w:tc>
        <w:tc>
          <w:tcPr>
            <w:tcW w:w="825" w:type="dxa"/>
            <w:noWrap/>
            <w:vAlign w:val="center"/>
          </w:tcPr>
          <w:p w14:paraId="471E3949">
            <w:pPr>
              <w:spacing w:line="360" w:lineRule="auto"/>
              <w:jc w:val="left"/>
              <w:rPr>
                <w:rFonts w:ascii="宋体" w:hAnsi="宋体" w:cs="宋体"/>
                <w:color w:val="auto"/>
                <w:sz w:val="24"/>
                <w:szCs w:val="24"/>
                <w:highlight w:val="none"/>
              </w:rPr>
            </w:pPr>
          </w:p>
        </w:tc>
        <w:tc>
          <w:tcPr>
            <w:tcW w:w="2258" w:type="dxa"/>
            <w:noWrap/>
            <w:vAlign w:val="center"/>
          </w:tcPr>
          <w:p w14:paraId="502FA9EC">
            <w:pPr>
              <w:spacing w:line="360" w:lineRule="auto"/>
              <w:jc w:val="left"/>
              <w:rPr>
                <w:rFonts w:ascii="宋体" w:hAnsi="宋体" w:cs="宋体"/>
                <w:color w:val="auto"/>
                <w:sz w:val="24"/>
                <w:szCs w:val="24"/>
                <w:highlight w:val="none"/>
              </w:rPr>
            </w:pPr>
          </w:p>
        </w:tc>
        <w:tc>
          <w:tcPr>
            <w:tcW w:w="1232" w:type="dxa"/>
            <w:noWrap/>
            <w:vAlign w:val="center"/>
          </w:tcPr>
          <w:p w14:paraId="03EECB0F">
            <w:pPr>
              <w:spacing w:line="360" w:lineRule="auto"/>
              <w:jc w:val="left"/>
              <w:rPr>
                <w:rFonts w:ascii="宋体" w:hAnsi="宋体" w:cs="宋体"/>
                <w:color w:val="auto"/>
                <w:sz w:val="24"/>
                <w:szCs w:val="24"/>
                <w:highlight w:val="none"/>
              </w:rPr>
            </w:pPr>
          </w:p>
        </w:tc>
        <w:tc>
          <w:tcPr>
            <w:tcW w:w="1026" w:type="dxa"/>
            <w:noWrap/>
            <w:vAlign w:val="center"/>
          </w:tcPr>
          <w:p w14:paraId="02ACF59D">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682D525B">
            <w:pPr>
              <w:spacing w:line="360" w:lineRule="auto"/>
              <w:jc w:val="left"/>
              <w:rPr>
                <w:rFonts w:ascii="宋体" w:hAnsi="宋体" w:cs="宋体"/>
                <w:color w:val="auto"/>
                <w:sz w:val="24"/>
                <w:szCs w:val="24"/>
                <w:highlight w:val="none"/>
              </w:rPr>
            </w:pPr>
          </w:p>
        </w:tc>
      </w:tr>
      <w:tr w14:paraId="434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14:paraId="2DF6BCA6">
            <w:pPr>
              <w:spacing w:line="360" w:lineRule="auto"/>
              <w:jc w:val="left"/>
              <w:rPr>
                <w:rFonts w:ascii="宋体" w:hAnsi="宋体" w:cs="宋体"/>
                <w:color w:val="auto"/>
                <w:sz w:val="24"/>
                <w:szCs w:val="24"/>
                <w:highlight w:val="none"/>
              </w:rPr>
            </w:pPr>
          </w:p>
        </w:tc>
        <w:tc>
          <w:tcPr>
            <w:tcW w:w="2258" w:type="dxa"/>
            <w:noWrap/>
            <w:vAlign w:val="center"/>
          </w:tcPr>
          <w:p w14:paraId="3B9F27F9">
            <w:pPr>
              <w:spacing w:line="360" w:lineRule="auto"/>
              <w:jc w:val="left"/>
              <w:rPr>
                <w:rFonts w:ascii="宋体" w:hAnsi="宋体" w:cs="宋体"/>
                <w:color w:val="auto"/>
                <w:sz w:val="24"/>
                <w:szCs w:val="24"/>
                <w:highlight w:val="none"/>
              </w:rPr>
            </w:pPr>
          </w:p>
        </w:tc>
        <w:tc>
          <w:tcPr>
            <w:tcW w:w="825" w:type="dxa"/>
            <w:noWrap/>
            <w:vAlign w:val="center"/>
          </w:tcPr>
          <w:p w14:paraId="5D4373C8">
            <w:pPr>
              <w:spacing w:line="360" w:lineRule="auto"/>
              <w:jc w:val="left"/>
              <w:rPr>
                <w:rFonts w:ascii="宋体" w:hAnsi="宋体" w:cs="宋体"/>
                <w:color w:val="auto"/>
                <w:sz w:val="24"/>
                <w:szCs w:val="24"/>
                <w:highlight w:val="none"/>
              </w:rPr>
            </w:pPr>
          </w:p>
        </w:tc>
        <w:tc>
          <w:tcPr>
            <w:tcW w:w="2258" w:type="dxa"/>
            <w:noWrap/>
            <w:vAlign w:val="center"/>
          </w:tcPr>
          <w:p w14:paraId="03EC69B6">
            <w:pPr>
              <w:spacing w:line="360" w:lineRule="auto"/>
              <w:jc w:val="left"/>
              <w:rPr>
                <w:rFonts w:ascii="宋体" w:hAnsi="宋体" w:cs="宋体"/>
                <w:color w:val="auto"/>
                <w:sz w:val="24"/>
                <w:szCs w:val="24"/>
                <w:highlight w:val="none"/>
              </w:rPr>
            </w:pPr>
          </w:p>
        </w:tc>
        <w:tc>
          <w:tcPr>
            <w:tcW w:w="1232" w:type="dxa"/>
            <w:noWrap/>
            <w:vAlign w:val="center"/>
          </w:tcPr>
          <w:p w14:paraId="191233DB">
            <w:pPr>
              <w:spacing w:line="360" w:lineRule="auto"/>
              <w:jc w:val="left"/>
              <w:rPr>
                <w:rFonts w:ascii="宋体" w:hAnsi="宋体" w:cs="宋体"/>
                <w:color w:val="auto"/>
                <w:sz w:val="24"/>
                <w:szCs w:val="24"/>
                <w:highlight w:val="none"/>
              </w:rPr>
            </w:pPr>
          </w:p>
        </w:tc>
        <w:tc>
          <w:tcPr>
            <w:tcW w:w="1026" w:type="dxa"/>
            <w:noWrap/>
            <w:vAlign w:val="center"/>
          </w:tcPr>
          <w:p w14:paraId="67C2009C">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14:paraId="48BE2909">
            <w:pPr>
              <w:spacing w:line="360" w:lineRule="auto"/>
              <w:jc w:val="left"/>
              <w:rPr>
                <w:rFonts w:ascii="宋体" w:hAnsi="宋体" w:cs="宋体"/>
                <w:color w:val="auto"/>
                <w:sz w:val="24"/>
                <w:szCs w:val="24"/>
                <w:highlight w:val="none"/>
              </w:rPr>
            </w:pPr>
          </w:p>
        </w:tc>
      </w:tr>
      <w:tr w14:paraId="5973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34" w:type="dxa"/>
            <w:tcBorders>
              <w:left w:val="single" w:color="auto" w:sz="12" w:space="0"/>
              <w:right w:val="single" w:color="auto" w:sz="4" w:space="0"/>
            </w:tcBorders>
            <w:noWrap/>
            <w:vAlign w:val="center"/>
          </w:tcPr>
          <w:p w14:paraId="4557089A">
            <w:pPr>
              <w:spacing w:line="360" w:lineRule="auto"/>
              <w:jc w:val="left"/>
              <w:rPr>
                <w:rFonts w:ascii="宋体" w:hAnsi="宋体" w:cs="宋体"/>
                <w:color w:val="auto"/>
                <w:sz w:val="24"/>
                <w:szCs w:val="24"/>
                <w:highlight w:val="none"/>
              </w:rPr>
            </w:pPr>
          </w:p>
        </w:tc>
        <w:tc>
          <w:tcPr>
            <w:tcW w:w="2258" w:type="dxa"/>
            <w:tcBorders>
              <w:left w:val="single" w:color="auto" w:sz="4" w:space="0"/>
              <w:right w:val="single" w:color="auto" w:sz="4" w:space="0"/>
            </w:tcBorders>
            <w:noWrap/>
            <w:vAlign w:val="center"/>
          </w:tcPr>
          <w:p w14:paraId="7EB39B58">
            <w:pPr>
              <w:spacing w:line="360" w:lineRule="auto"/>
              <w:jc w:val="left"/>
              <w:rPr>
                <w:rFonts w:ascii="宋体" w:hAnsi="宋体" w:cs="宋体"/>
                <w:color w:val="auto"/>
                <w:sz w:val="24"/>
                <w:szCs w:val="24"/>
                <w:highlight w:val="none"/>
              </w:rPr>
            </w:pPr>
          </w:p>
        </w:tc>
        <w:tc>
          <w:tcPr>
            <w:tcW w:w="825" w:type="dxa"/>
            <w:tcBorders>
              <w:left w:val="single" w:color="auto" w:sz="4" w:space="0"/>
              <w:right w:val="single" w:color="auto" w:sz="4" w:space="0"/>
            </w:tcBorders>
            <w:noWrap/>
            <w:vAlign w:val="center"/>
          </w:tcPr>
          <w:p w14:paraId="497C3C45">
            <w:pPr>
              <w:spacing w:line="360" w:lineRule="auto"/>
              <w:jc w:val="left"/>
              <w:rPr>
                <w:rFonts w:ascii="宋体" w:hAnsi="宋体" w:cs="宋体"/>
                <w:color w:val="auto"/>
                <w:sz w:val="24"/>
                <w:szCs w:val="24"/>
                <w:highlight w:val="none"/>
              </w:rPr>
            </w:pPr>
          </w:p>
        </w:tc>
        <w:tc>
          <w:tcPr>
            <w:tcW w:w="2258" w:type="dxa"/>
            <w:tcBorders>
              <w:left w:val="single" w:color="auto" w:sz="4" w:space="0"/>
              <w:right w:val="single" w:color="auto" w:sz="4" w:space="0"/>
            </w:tcBorders>
            <w:noWrap/>
            <w:vAlign w:val="center"/>
          </w:tcPr>
          <w:p w14:paraId="2AD5EDB4">
            <w:pPr>
              <w:spacing w:line="360" w:lineRule="auto"/>
              <w:jc w:val="left"/>
              <w:rPr>
                <w:rFonts w:ascii="宋体" w:hAnsi="宋体" w:cs="宋体"/>
                <w:color w:val="auto"/>
                <w:sz w:val="24"/>
                <w:szCs w:val="24"/>
                <w:highlight w:val="none"/>
              </w:rPr>
            </w:pPr>
          </w:p>
        </w:tc>
        <w:tc>
          <w:tcPr>
            <w:tcW w:w="1232" w:type="dxa"/>
            <w:tcBorders>
              <w:left w:val="single" w:color="auto" w:sz="4" w:space="0"/>
              <w:right w:val="single" w:color="auto" w:sz="4" w:space="0"/>
            </w:tcBorders>
            <w:noWrap/>
            <w:vAlign w:val="center"/>
          </w:tcPr>
          <w:p w14:paraId="3FC6FB4E">
            <w:pPr>
              <w:spacing w:line="360" w:lineRule="auto"/>
              <w:ind w:left="2592"/>
              <w:jc w:val="left"/>
              <w:rPr>
                <w:rFonts w:ascii="宋体" w:hAnsi="宋体" w:cs="宋体"/>
                <w:color w:val="auto"/>
                <w:sz w:val="24"/>
                <w:szCs w:val="24"/>
                <w:highlight w:val="none"/>
              </w:rPr>
            </w:pPr>
          </w:p>
        </w:tc>
        <w:tc>
          <w:tcPr>
            <w:tcW w:w="1026" w:type="dxa"/>
            <w:tcBorders>
              <w:left w:val="single" w:color="auto" w:sz="4" w:space="0"/>
              <w:right w:val="single" w:color="auto" w:sz="4" w:space="0"/>
            </w:tcBorders>
            <w:noWrap/>
            <w:vAlign w:val="center"/>
          </w:tcPr>
          <w:p w14:paraId="001EDDA0">
            <w:pPr>
              <w:spacing w:line="360" w:lineRule="auto"/>
              <w:ind w:left="2592"/>
              <w:jc w:val="left"/>
              <w:rPr>
                <w:rFonts w:ascii="宋体" w:hAnsi="宋体" w:cs="宋体"/>
                <w:color w:val="auto"/>
                <w:sz w:val="24"/>
                <w:szCs w:val="24"/>
                <w:highlight w:val="none"/>
              </w:rPr>
            </w:pPr>
          </w:p>
        </w:tc>
        <w:tc>
          <w:tcPr>
            <w:tcW w:w="1587" w:type="dxa"/>
            <w:tcBorders>
              <w:left w:val="single" w:color="auto" w:sz="4" w:space="0"/>
              <w:right w:val="single" w:color="auto" w:sz="12" w:space="0"/>
            </w:tcBorders>
            <w:noWrap/>
            <w:vAlign w:val="center"/>
          </w:tcPr>
          <w:p w14:paraId="686C0698">
            <w:pPr>
              <w:spacing w:line="360" w:lineRule="auto"/>
              <w:ind w:left="2592"/>
              <w:jc w:val="left"/>
              <w:rPr>
                <w:rFonts w:ascii="宋体" w:hAnsi="宋体" w:cs="宋体"/>
                <w:color w:val="auto"/>
                <w:sz w:val="24"/>
                <w:szCs w:val="24"/>
                <w:highlight w:val="none"/>
              </w:rPr>
            </w:pPr>
          </w:p>
        </w:tc>
      </w:tr>
      <w:tr w14:paraId="2C30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3617" w:type="dxa"/>
            <w:gridSpan w:val="3"/>
            <w:tcBorders>
              <w:left w:val="single" w:color="auto" w:sz="12" w:space="0"/>
              <w:right w:val="single" w:color="auto" w:sz="4" w:space="0"/>
            </w:tcBorders>
            <w:noWrap/>
            <w:vAlign w:val="center"/>
          </w:tcPr>
          <w:p w14:paraId="35C26C7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监 理 费 合 计（元）</w:t>
            </w:r>
          </w:p>
        </w:tc>
        <w:tc>
          <w:tcPr>
            <w:tcW w:w="6103" w:type="dxa"/>
            <w:gridSpan w:val="4"/>
            <w:tcBorders>
              <w:left w:val="single" w:color="auto" w:sz="4" w:space="0"/>
              <w:right w:val="single" w:color="auto" w:sz="12" w:space="0"/>
            </w:tcBorders>
            <w:noWrap/>
            <w:vAlign w:val="center"/>
          </w:tcPr>
          <w:p w14:paraId="1F22DE52">
            <w:pPr>
              <w:spacing w:line="360" w:lineRule="auto"/>
              <w:jc w:val="left"/>
              <w:rPr>
                <w:rFonts w:ascii="宋体" w:hAnsi="宋体" w:cs="宋体"/>
                <w:color w:val="auto"/>
                <w:sz w:val="24"/>
                <w:szCs w:val="24"/>
                <w:highlight w:val="none"/>
              </w:rPr>
            </w:pPr>
          </w:p>
        </w:tc>
      </w:tr>
      <w:tr w14:paraId="5879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3617" w:type="dxa"/>
            <w:gridSpan w:val="3"/>
            <w:tcBorders>
              <w:left w:val="single" w:color="auto" w:sz="12" w:space="0"/>
              <w:bottom w:val="single" w:color="auto" w:sz="12" w:space="0"/>
              <w:right w:val="single" w:color="auto" w:sz="4" w:space="0"/>
            </w:tcBorders>
            <w:noWrap/>
            <w:vAlign w:val="center"/>
          </w:tcPr>
          <w:p w14:paraId="0E518A0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降价后最终费率（%）</w:t>
            </w:r>
          </w:p>
        </w:tc>
        <w:tc>
          <w:tcPr>
            <w:tcW w:w="6103" w:type="dxa"/>
            <w:gridSpan w:val="4"/>
            <w:tcBorders>
              <w:left w:val="single" w:color="auto" w:sz="4" w:space="0"/>
              <w:bottom w:val="single" w:color="auto" w:sz="12" w:space="0"/>
              <w:right w:val="single" w:color="auto" w:sz="12" w:space="0"/>
            </w:tcBorders>
            <w:noWrap/>
            <w:vAlign w:val="center"/>
          </w:tcPr>
          <w:p w14:paraId="291540C3">
            <w:pPr>
              <w:spacing w:line="360" w:lineRule="auto"/>
              <w:jc w:val="left"/>
              <w:rPr>
                <w:rFonts w:ascii="宋体" w:hAnsi="宋体" w:cs="宋体"/>
                <w:color w:val="auto"/>
                <w:sz w:val="24"/>
                <w:szCs w:val="24"/>
                <w:highlight w:val="none"/>
              </w:rPr>
            </w:pPr>
          </w:p>
        </w:tc>
      </w:tr>
      <w:tr w14:paraId="1C43F7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643" w:hRule="atLeast"/>
        </w:trPr>
        <w:tc>
          <w:tcPr>
            <w:tcW w:w="9720" w:type="dxa"/>
            <w:gridSpan w:val="7"/>
            <w:tcBorders>
              <w:top w:val="single" w:color="auto" w:sz="12" w:space="0"/>
            </w:tcBorders>
            <w:noWrap/>
          </w:tcPr>
          <w:p w14:paraId="773EAF0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报价依据和说明：</w:t>
            </w:r>
          </w:p>
        </w:tc>
      </w:tr>
    </w:tbl>
    <w:p w14:paraId="2E13F96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投标单位（盖章）：           </w:t>
      </w:r>
    </w:p>
    <w:p w14:paraId="48A734E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法定代表或授权代表（签字或盖章）：</w:t>
      </w:r>
    </w:p>
    <w:p w14:paraId="709C87AD">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625DF28">
      <w:pPr>
        <w:adjustRightInd w:val="0"/>
        <w:snapToGrid w:val="0"/>
        <w:spacing w:beforeLines="20" w:afterLines="2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八、评标原则、方法和内容</w:t>
      </w:r>
    </w:p>
    <w:p w14:paraId="79218938">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highlight w:val="none"/>
        </w:rPr>
      </w:pPr>
      <w:r>
        <w:rPr>
          <w:rFonts w:hint="eastAsia" w:ascii="宋体" w:hAnsi="宋体" w:cs="宋体"/>
          <w:bCs/>
          <w:color w:val="auto"/>
          <w:sz w:val="28"/>
          <w:szCs w:val="28"/>
          <w:highlight w:val="none"/>
        </w:rPr>
        <w:t>1.总则：</w:t>
      </w:r>
      <w:r>
        <w:rPr>
          <w:rFonts w:hint="eastAsia" w:ascii="宋体" w:hAnsi="宋体" w:cs="宋体"/>
          <w:color w:val="auto"/>
          <w:sz w:val="28"/>
          <w:szCs w:val="28"/>
          <w:highlight w:val="none"/>
        </w:rPr>
        <w:t>为维护招投标双方的合法权益，增加评标工作透明度，保证评标、定标的科学性、公正性和可操作性，根据《招标投标法》、《招标投标法实施条例》、《评标委员会和评标办法暂行规定（七部委12号令）》等法律法规的精神，结合本市实际制定本办法。</w:t>
      </w:r>
      <w:r>
        <w:rPr>
          <w:rFonts w:hint="eastAsia" w:ascii="宋体" w:hAnsi="宋体" w:cs="宋体"/>
          <w:b/>
          <w:bCs/>
          <w:color w:val="auto"/>
          <w:sz w:val="28"/>
          <w:szCs w:val="28"/>
          <w:highlight w:val="none"/>
        </w:rPr>
        <w:t>本招标文件其它部分与本评标办法不一致的，以本办法的规定为准。</w:t>
      </w:r>
    </w:p>
    <w:p w14:paraId="27FF53BE">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一、评标程序</w:t>
      </w:r>
    </w:p>
    <w:p w14:paraId="7118F52D">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1、评标委员会由招标人依法组建，由工作人员在开标前从专家库中随机抽取产生，评标委员会成员名单在中标结果确定前应当保密。</w:t>
      </w:r>
    </w:p>
    <w:p w14:paraId="646EF999">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2、由代理机构人员现场对投标人法定代表人或其委托代理人的身份进行核实。</w:t>
      </w:r>
    </w:p>
    <w:p w14:paraId="7DB0B440">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3、由代理机构人员从投标人中随机选取两名代表对投标文件的密封情况进行检查。</w:t>
      </w:r>
    </w:p>
    <w:p w14:paraId="71465AD9">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4、开标时，启封投标文件正本。</w:t>
      </w:r>
    </w:p>
    <w:p w14:paraId="39963F90">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5、评标委员会成员对投标文件进行评审。</w:t>
      </w:r>
    </w:p>
    <w:p w14:paraId="790AF3B4">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6、评标委员会按定标方法向招标人推荐预中标候选人。</w:t>
      </w:r>
    </w:p>
    <w:p w14:paraId="46BAD63B">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二、</w:t>
      </w:r>
      <w:r>
        <w:rPr>
          <w:rFonts w:hint="eastAsia" w:ascii="宋体" w:hAnsi="宋体" w:cs="宋体"/>
          <w:b/>
          <w:color w:val="auto"/>
          <w:sz w:val="28"/>
          <w:szCs w:val="28"/>
          <w:highlight w:val="none"/>
          <w:lang w:eastAsia="zh-CN"/>
        </w:rPr>
        <w:t>否决投标</w:t>
      </w:r>
      <w:r>
        <w:rPr>
          <w:rFonts w:hint="eastAsia" w:ascii="宋体" w:hAnsi="宋体" w:cs="宋体"/>
          <w:b/>
          <w:color w:val="auto"/>
          <w:sz w:val="28"/>
          <w:szCs w:val="28"/>
          <w:highlight w:val="none"/>
        </w:rPr>
        <w:t>条件</w:t>
      </w:r>
    </w:p>
    <w:p w14:paraId="03128E44">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投标文件出现下列情形之一的，作为无效投标文件，不得进入评标：</w:t>
      </w:r>
    </w:p>
    <w:p w14:paraId="020EBFD7">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1、投标文件未按照招标文件的要求予以装订的；</w:t>
      </w:r>
    </w:p>
    <w:p w14:paraId="0EB77217">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2、</w:t>
      </w:r>
      <w:r>
        <w:rPr>
          <w:rFonts w:hint="eastAsia" w:ascii="宋体" w:hAnsi="宋体" w:cs="宋体"/>
          <w:b/>
          <w:color w:val="auto"/>
          <w:sz w:val="28"/>
          <w:szCs w:val="28"/>
          <w:highlight w:val="none"/>
        </w:rPr>
        <w:t>投标文件封面、投标书、报价表、授权委托书未加盖投标人的企业印章以及无企业法定代表人或其授权的委托代理人签字或盖章的。</w:t>
      </w:r>
      <w:r>
        <w:rPr>
          <w:rFonts w:hint="eastAsia" w:ascii="宋体" w:hAnsi="宋体" w:cs="宋体"/>
          <w:color w:val="auto"/>
          <w:sz w:val="28"/>
          <w:szCs w:val="28"/>
          <w:highlight w:val="none"/>
        </w:rPr>
        <w:t>企业法定代表人授权的委托代理人没有合法、有效的委托书；</w:t>
      </w:r>
    </w:p>
    <w:p w14:paraId="39DA94CB">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3、逾期送达或者未送达指定地点的；</w:t>
      </w:r>
    </w:p>
    <w:p w14:paraId="0A55CD31">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4、投标文件的关键内容字迹模糊、无法辨认的；</w:t>
      </w:r>
    </w:p>
    <w:p w14:paraId="42CD4D4B">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5、投标人未按招标文件要求提供投标保证金的；</w:t>
      </w:r>
    </w:p>
    <w:p w14:paraId="7888B8DF">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6、投标人法定代表人或其委托代理人未在投标截止时间前到开标现场的；</w:t>
      </w:r>
    </w:p>
    <w:p w14:paraId="6625E1A4">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7、投标人递交的同一份投标文件中对同一招标项目报有两个或多个报价，且未声明哪一个有效的；</w:t>
      </w:r>
    </w:p>
    <w:p w14:paraId="2D0EB0B9">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8、投标报价高于</w:t>
      </w:r>
      <w:r>
        <w:rPr>
          <w:rFonts w:hint="eastAsia" w:ascii="宋体" w:hAnsi="宋体" w:eastAsia="宋体" w:cs="宋体"/>
          <w:bCs/>
          <w:color w:val="auto"/>
          <w:sz w:val="28"/>
          <w:szCs w:val="28"/>
          <w:highlight w:val="none"/>
          <w:lang w:val="en-US" w:eastAsia="zh-CN"/>
        </w:rPr>
        <w:t>最高投标限价</w:t>
      </w:r>
      <w:r>
        <w:rPr>
          <w:rFonts w:hint="eastAsia" w:ascii="宋体" w:hAnsi="宋体" w:eastAsia="宋体" w:cs="宋体"/>
          <w:bCs/>
          <w:color w:val="auto"/>
          <w:sz w:val="28"/>
          <w:szCs w:val="28"/>
          <w:highlight w:val="none"/>
        </w:rPr>
        <w:t>A（不含A值）；</w:t>
      </w:r>
    </w:p>
    <w:p w14:paraId="475A6AB9">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9、投标人对施工监理期未承诺的；</w:t>
      </w:r>
    </w:p>
    <w:p w14:paraId="063E626A">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10、未满足本工程监理机构人员配备最低要求（见附表）的；</w:t>
      </w:r>
    </w:p>
    <w:p w14:paraId="4439C27A">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11、未按招标文件要求提交承诺书的；</w:t>
      </w:r>
    </w:p>
    <w:p w14:paraId="0D44411B">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1</w:t>
      </w:r>
      <w:r>
        <w:rPr>
          <w:rFonts w:ascii="宋体" w:hAnsi="宋体" w:cs="宋体"/>
          <w:b/>
          <w:bCs/>
          <w:color w:val="auto"/>
          <w:sz w:val="28"/>
          <w:szCs w:val="28"/>
          <w:highlight w:val="none"/>
        </w:rPr>
        <w:t>2</w:t>
      </w:r>
      <w:r>
        <w:rPr>
          <w:rFonts w:hint="eastAsia" w:ascii="宋体" w:hAnsi="宋体" w:cs="宋体"/>
          <w:b/>
          <w:bCs/>
          <w:color w:val="auto"/>
          <w:sz w:val="28"/>
          <w:szCs w:val="28"/>
          <w:highlight w:val="none"/>
        </w:rPr>
        <w:t>、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w:t>
      </w:r>
    </w:p>
    <w:p w14:paraId="1C79E2CC">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ascii="宋体" w:hAnsi="宋体" w:cs="宋体"/>
          <w:color w:val="auto"/>
          <w:sz w:val="28"/>
          <w:szCs w:val="28"/>
          <w:highlight w:val="none"/>
        </w:rPr>
        <w:t>3</w:t>
      </w:r>
      <w:r>
        <w:rPr>
          <w:rFonts w:hint="eastAsia" w:ascii="宋体" w:hAnsi="宋体" w:cs="宋体"/>
          <w:color w:val="auto"/>
          <w:sz w:val="28"/>
          <w:szCs w:val="28"/>
          <w:highlight w:val="none"/>
        </w:rPr>
        <w:t>、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14:paraId="05F8273E">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highlight w:val="none"/>
        </w:rPr>
      </w:pPr>
      <w:r>
        <w:rPr>
          <w:rFonts w:ascii="宋体" w:hAnsi="宋体" w:cs="宋体"/>
          <w:color w:val="auto"/>
          <w:sz w:val="28"/>
          <w:szCs w:val="28"/>
          <w:highlight w:val="none"/>
        </w:rPr>
        <w:t>14</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当通过投标资格评审的投标人少于3家的</w:t>
      </w:r>
      <w:r>
        <w:rPr>
          <w:rFonts w:hint="eastAsia" w:ascii="宋体" w:hAnsi="宋体" w:cs="宋体"/>
          <w:color w:val="auto"/>
          <w:sz w:val="28"/>
          <w:szCs w:val="28"/>
          <w:highlight w:val="none"/>
        </w:rPr>
        <w:t>，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w:t>
      </w:r>
      <w:r>
        <w:rPr>
          <w:rFonts w:hint="eastAsia" w:ascii="宋体" w:hAnsi="宋体" w:cs="宋体"/>
          <w:color w:val="auto"/>
          <w:sz w:val="28"/>
          <w:szCs w:val="28"/>
          <w:highlight w:val="none"/>
          <w:lang w:eastAsia="zh-CN"/>
        </w:rPr>
        <w:t>招标失败</w:t>
      </w:r>
      <w:r>
        <w:rPr>
          <w:rFonts w:hint="eastAsia" w:ascii="宋体" w:hAnsi="宋体" w:cs="宋体"/>
          <w:color w:val="auto"/>
          <w:sz w:val="28"/>
          <w:szCs w:val="28"/>
          <w:highlight w:val="none"/>
        </w:rPr>
        <w:t>处理。</w:t>
      </w:r>
    </w:p>
    <w:p w14:paraId="418F3A5A">
      <w:pPr>
        <w:pStyle w:val="48"/>
        <w:spacing w:line="360" w:lineRule="auto"/>
        <w:ind w:firstLine="560"/>
        <w:rPr>
          <w:rFonts w:ascii="宋体" w:hAnsi="宋体" w:cs="宋体"/>
          <w:b/>
          <w:color w:val="auto"/>
          <w:sz w:val="24"/>
          <w:szCs w:val="24"/>
          <w:highlight w:val="none"/>
        </w:rPr>
      </w:pPr>
      <w:r>
        <w:rPr>
          <w:rFonts w:hint="eastAsia" w:ascii="宋体" w:hAnsi="宋体" w:cs="宋体"/>
          <w:b/>
          <w:color w:val="auto"/>
          <w:sz w:val="24"/>
          <w:szCs w:val="24"/>
          <w:highlight w:val="none"/>
        </w:rPr>
        <w:t>三、资格审查</w:t>
      </w:r>
    </w:p>
    <w:tbl>
      <w:tblPr>
        <w:tblStyle w:val="23"/>
        <w:tblW w:w="959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24"/>
        <w:gridCol w:w="1618"/>
        <w:gridCol w:w="2551"/>
        <w:gridCol w:w="2390"/>
        <w:gridCol w:w="2510"/>
      </w:tblGrid>
      <w:tr w14:paraId="0AF031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6A618E13">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序</w:t>
            </w:r>
          </w:p>
          <w:p w14:paraId="37DD6B5C">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号</w:t>
            </w:r>
          </w:p>
        </w:tc>
        <w:tc>
          <w:tcPr>
            <w:tcW w:w="1618" w:type="dxa"/>
            <w:tcBorders>
              <w:top w:val="outset" w:color="auto" w:sz="6" w:space="0"/>
              <w:left w:val="outset" w:color="auto" w:sz="6" w:space="0"/>
              <w:bottom w:val="outset" w:color="auto" w:sz="6" w:space="0"/>
              <w:right w:val="outset" w:color="auto" w:sz="6" w:space="0"/>
            </w:tcBorders>
            <w:noWrap/>
            <w:vAlign w:val="center"/>
          </w:tcPr>
          <w:p w14:paraId="6078A8B6">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合格条件</w:t>
            </w:r>
          </w:p>
        </w:tc>
        <w:tc>
          <w:tcPr>
            <w:tcW w:w="2551" w:type="dxa"/>
            <w:tcBorders>
              <w:top w:val="outset" w:color="auto" w:sz="6" w:space="0"/>
              <w:left w:val="outset" w:color="auto" w:sz="6" w:space="0"/>
              <w:bottom w:val="outset" w:color="auto" w:sz="6" w:space="0"/>
              <w:right w:val="outset" w:color="auto" w:sz="6" w:space="0"/>
            </w:tcBorders>
            <w:noWrap/>
            <w:vAlign w:val="center"/>
          </w:tcPr>
          <w:p w14:paraId="0A6D9F0F">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投标资格合格条件标准</w:t>
            </w:r>
          </w:p>
        </w:tc>
        <w:tc>
          <w:tcPr>
            <w:tcW w:w="2390" w:type="dxa"/>
            <w:tcBorders>
              <w:top w:val="outset" w:color="auto" w:sz="6" w:space="0"/>
              <w:left w:val="outset" w:color="auto" w:sz="6" w:space="0"/>
              <w:bottom w:val="outset" w:color="auto" w:sz="6" w:space="0"/>
              <w:right w:val="outset" w:color="auto" w:sz="6" w:space="0"/>
            </w:tcBorders>
            <w:noWrap/>
            <w:vAlign w:val="center"/>
          </w:tcPr>
          <w:p w14:paraId="3D76B3CD">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有效证明材料</w:t>
            </w:r>
          </w:p>
        </w:tc>
        <w:tc>
          <w:tcPr>
            <w:tcW w:w="2510" w:type="dxa"/>
            <w:tcBorders>
              <w:top w:val="outset" w:color="auto" w:sz="6" w:space="0"/>
              <w:left w:val="outset" w:color="auto" w:sz="6" w:space="0"/>
              <w:bottom w:val="outset" w:color="auto" w:sz="6" w:space="0"/>
              <w:right w:val="outset" w:color="auto" w:sz="6" w:space="0"/>
            </w:tcBorders>
            <w:noWrap/>
            <w:vAlign w:val="center"/>
          </w:tcPr>
          <w:p w14:paraId="0AF10B0B">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定性的结论以及</w:t>
            </w:r>
          </w:p>
          <w:p w14:paraId="00FAF4AC">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相关情况说明</w:t>
            </w:r>
          </w:p>
        </w:tc>
      </w:tr>
      <w:tr w14:paraId="3254E2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4BBE58D3">
            <w:pPr>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1</w:t>
            </w:r>
          </w:p>
        </w:tc>
        <w:tc>
          <w:tcPr>
            <w:tcW w:w="1618" w:type="dxa"/>
            <w:tcBorders>
              <w:top w:val="outset" w:color="auto" w:sz="6" w:space="0"/>
              <w:left w:val="outset" w:color="auto" w:sz="6" w:space="0"/>
              <w:bottom w:val="outset" w:color="auto" w:sz="6" w:space="0"/>
              <w:right w:val="outset" w:color="auto" w:sz="6" w:space="0"/>
            </w:tcBorders>
            <w:noWrap/>
            <w:vAlign w:val="center"/>
          </w:tcPr>
          <w:p w14:paraId="0BC2E09F">
            <w:pPr>
              <w:widowControl/>
              <w:adjustRightInd w:val="0"/>
              <w:snapToGrid w:val="0"/>
              <w:spacing w:line="300" w:lineRule="exact"/>
              <w:jc w:val="center"/>
              <w:rPr>
                <w:rFonts w:hint="eastAsia" w:ascii="宋体" w:hAnsi="宋体" w:eastAsia="宋体" w:cs="仿宋_GB2312"/>
                <w:color w:val="auto"/>
                <w:kern w:val="0"/>
                <w:sz w:val="20"/>
                <w:szCs w:val="21"/>
                <w:highlight w:val="none"/>
              </w:rPr>
            </w:pPr>
            <w:r>
              <w:rPr>
                <w:rFonts w:hint="eastAsia" w:ascii="宋体" w:hAnsi="宋体" w:eastAsia="宋体" w:cs="仿宋_GB2312"/>
                <w:color w:val="auto"/>
                <w:kern w:val="0"/>
                <w:sz w:val="20"/>
                <w:szCs w:val="21"/>
                <w:highlight w:val="none"/>
              </w:rPr>
              <w:t>营业执照或事业单位法人证书</w:t>
            </w:r>
          </w:p>
        </w:tc>
        <w:tc>
          <w:tcPr>
            <w:tcW w:w="2551" w:type="dxa"/>
            <w:tcBorders>
              <w:top w:val="outset" w:color="auto" w:sz="6" w:space="0"/>
              <w:left w:val="outset" w:color="auto" w:sz="6" w:space="0"/>
              <w:bottom w:val="outset" w:color="auto" w:sz="6" w:space="0"/>
              <w:right w:val="outset" w:color="auto" w:sz="6" w:space="0"/>
            </w:tcBorders>
            <w:noWrap/>
            <w:vAlign w:val="center"/>
          </w:tcPr>
          <w:p w14:paraId="3AACE30D">
            <w:pPr>
              <w:widowControl/>
              <w:adjustRightInd w:val="0"/>
              <w:snapToGrid w:val="0"/>
              <w:spacing w:line="300" w:lineRule="exact"/>
              <w:jc w:val="both"/>
              <w:rPr>
                <w:rFonts w:hint="eastAsia" w:ascii="宋体" w:hAnsi="宋体" w:eastAsia="宋体" w:cs="仿宋_GB2312"/>
                <w:color w:val="auto"/>
                <w:kern w:val="0"/>
                <w:sz w:val="20"/>
                <w:szCs w:val="21"/>
                <w:highlight w:val="none"/>
              </w:rPr>
            </w:pPr>
            <w:r>
              <w:rPr>
                <w:rFonts w:hint="eastAsia" w:ascii="宋体" w:hAnsi="宋体" w:eastAsia="宋体" w:cs="仿宋_GB2312"/>
                <w:color w:val="auto"/>
                <w:kern w:val="0"/>
                <w:sz w:val="20"/>
                <w:szCs w:val="21"/>
                <w:highlight w:val="none"/>
              </w:rPr>
              <w:t>具有有效的营业执照或事业单位法人证书</w:t>
            </w:r>
          </w:p>
        </w:tc>
        <w:tc>
          <w:tcPr>
            <w:tcW w:w="2390" w:type="dxa"/>
            <w:tcBorders>
              <w:top w:val="outset" w:color="auto" w:sz="6" w:space="0"/>
              <w:left w:val="outset" w:color="auto" w:sz="6" w:space="0"/>
              <w:bottom w:val="outset" w:color="auto" w:sz="6" w:space="0"/>
              <w:right w:val="single" w:color="auto" w:sz="0" w:space="0"/>
            </w:tcBorders>
            <w:noWrap/>
            <w:vAlign w:val="center"/>
          </w:tcPr>
          <w:p w14:paraId="588C26C9">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企业法人营业执照事业单位法人证书</w:t>
            </w:r>
          </w:p>
        </w:tc>
        <w:tc>
          <w:tcPr>
            <w:tcW w:w="2510" w:type="dxa"/>
            <w:vMerge w:val="restart"/>
            <w:tcBorders>
              <w:top w:val="outset" w:color="auto" w:sz="6" w:space="0"/>
              <w:left w:val="outset" w:color="auto" w:sz="6" w:space="0"/>
              <w:right w:val="outset" w:color="auto" w:sz="6" w:space="0"/>
            </w:tcBorders>
            <w:noWrap/>
            <w:vAlign w:val="center"/>
          </w:tcPr>
          <w:p w14:paraId="2A0AEEBE">
            <w:pPr>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提供复印件加盖公章装订在投标文件中。</w:t>
            </w:r>
          </w:p>
        </w:tc>
      </w:tr>
      <w:tr w14:paraId="63D989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3E48119A">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2</w:t>
            </w:r>
          </w:p>
        </w:tc>
        <w:tc>
          <w:tcPr>
            <w:tcW w:w="1618" w:type="dxa"/>
            <w:tcBorders>
              <w:top w:val="outset" w:color="auto" w:sz="6" w:space="0"/>
              <w:left w:val="outset" w:color="auto" w:sz="6" w:space="0"/>
              <w:bottom w:val="outset" w:color="auto" w:sz="6" w:space="0"/>
              <w:right w:val="outset" w:color="auto" w:sz="6" w:space="0"/>
            </w:tcBorders>
            <w:noWrap/>
            <w:vAlign w:val="center"/>
          </w:tcPr>
          <w:p w14:paraId="358A3B8A">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企业资质证书</w:t>
            </w:r>
          </w:p>
        </w:tc>
        <w:tc>
          <w:tcPr>
            <w:tcW w:w="2551" w:type="dxa"/>
            <w:tcBorders>
              <w:top w:val="outset" w:color="auto" w:sz="6" w:space="0"/>
              <w:left w:val="outset" w:color="auto" w:sz="6" w:space="0"/>
              <w:bottom w:val="outset" w:color="auto" w:sz="6" w:space="0"/>
              <w:right w:val="outset" w:color="auto" w:sz="6" w:space="0"/>
            </w:tcBorders>
            <w:noWrap/>
            <w:vAlign w:val="center"/>
          </w:tcPr>
          <w:p w14:paraId="41CFDE19">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详见招标公告，与招标公告一致。</w:t>
            </w:r>
          </w:p>
        </w:tc>
        <w:tc>
          <w:tcPr>
            <w:tcW w:w="2390" w:type="dxa"/>
            <w:tcBorders>
              <w:top w:val="outset" w:color="auto" w:sz="6" w:space="0"/>
              <w:left w:val="outset" w:color="auto" w:sz="6" w:space="0"/>
              <w:bottom w:val="outset" w:color="auto" w:sz="6" w:space="0"/>
              <w:right w:val="outset" w:color="auto" w:sz="6" w:space="0"/>
            </w:tcBorders>
            <w:noWrap/>
          </w:tcPr>
          <w:p w14:paraId="404CC92D">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有效的企业资质等级证书 （副本）</w:t>
            </w:r>
          </w:p>
        </w:tc>
        <w:tc>
          <w:tcPr>
            <w:tcW w:w="2510" w:type="dxa"/>
            <w:vMerge w:val="continue"/>
            <w:tcBorders>
              <w:left w:val="outset" w:color="auto" w:sz="6" w:space="0"/>
              <w:right w:val="outset" w:color="auto" w:sz="6" w:space="0"/>
            </w:tcBorders>
            <w:noWrap/>
            <w:vAlign w:val="center"/>
          </w:tcPr>
          <w:p w14:paraId="7FB84EA4">
            <w:pPr>
              <w:adjustRightInd w:val="0"/>
              <w:snapToGrid w:val="0"/>
              <w:spacing w:line="300" w:lineRule="exact"/>
              <w:jc w:val="left"/>
              <w:rPr>
                <w:rFonts w:ascii="宋体" w:hAnsi="宋体" w:cs="仿宋_GB2312"/>
                <w:color w:val="auto"/>
                <w:kern w:val="0"/>
                <w:sz w:val="20"/>
                <w:szCs w:val="21"/>
                <w:highlight w:val="none"/>
              </w:rPr>
            </w:pPr>
          </w:p>
        </w:tc>
      </w:tr>
      <w:tr w14:paraId="29E52C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1899E024">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3</w:t>
            </w:r>
          </w:p>
        </w:tc>
        <w:tc>
          <w:tcPr>
            <w:tcW w:w="1618" w:type="dxa"/>
            <w:tcBorders>
              <w:top w:val="outset" w:color="auto" w:sz="6" w:space="0"/>
              <w:left w:val="outset" w:color="auto" w:sz="6" w:space="0"/>
              <w:bottom w:val="outset" w:color="auto" w:sz="6" w:space="0"/>
              <w:right w:val="outset" w:color="auto" w:sz="6" w:space="0"/>
            </w:tcBorders>
            <w:noWrap/>
            <w:vAlign w:val="center"/>
          </w:tcPr>
          <w:p w14:paraId="507F32BD">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拟派项目总监理工程师资格</w:t>
            </w:r>
          </w:p>
        </w:tc>
        <w:tc>
          <w:tcPr>
            <w:tcW w:w="2551" w:type="dxa"/>
            <w:tcBorders>
              <w:top w:val="outset" w:color="auto" w:sz="6" w:space="0"/>
              <w:left w:val="outset" w:color="auto" w:sz="6" w:space="0"/>
              <w:bottom w:val="outset" w:color="auto" w:sz="6" w:space="0"/>
              <w:right w:val="outset" w:color="auto" w:sz="6" w:space="0"/>
            </w:tcBorders>
            <w:noWrap/>
            <w:vAlign w:val="center"/>
          </w:tcPr>
          <w:p w14:paraId="3047B1FE">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详见招标公告，与招标公告一致。</w:t>
            </w:r>
          </w:p>
        </w:tc>
        <w:tc>
          <w:tcPr>
            <w:tcW w:w="2390" w:type="dxa"/>
            <w:tcBorders>
              <w:top w:val="outset" w:color="auto" w:sz="6" w:space="0"/>
              <w:left w:val="outset" w:color="auto" w:sz="6" w:space="0"/>
              <w:bottom w:val="outset" w:color="auto" w:sz="6" w:space="0"/>
              <w:right w:val="outset" w:color="auto" w:sz="6" w:space="0"/>
            </w:tcBorders>
            <w:noWrap/>
            <w:vAlign w:val="center"/>
          </w:tcPr>
          <w:p w14:paraId="270ACF1A">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有效的总监理工程师资格证书</w:t>
            </w:r>
          </w:p>
        </w:tc>
        <w:tc>
          <w:tcPr>
            <w:tcW w:w="2510" w:type="dxa"/>
            <w:tcBorders>
              <w:top w:val="outset" w:color="auto" w:sz="6" w:space="0"/>
              <w:left w:val="outset" w:color="auto" w:sz="6" w:space="0"/>
              <w:right w:val="outset" w:color="auto" w:sz="6" w:space="0"/>
            </w:tcBorders>
            <w:noWrap/>
            <w:vAlign w:val="center"/>
          </w:tcPr>
          <w:p w14:paraId="5CFC7441">
            <w:pPr>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提供复印件加盖公章装订在投标文件中。</w:t>
            </w:r>
          </w:p>
        </w:tc>
      </w:tr>
      <w:tr w14:paraId="766AB7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7C89D169">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4</w:t>
            </w:r>
          </w:p>
        </w:tc>
        <w:tc>
          <w:tcPr>
            <w:tcW w:w="1618" w:type="dxa"/>
            <w:tcBorders>
              <w:top w:val="outset" w:color="auto" w:sz="6" w:space="0"/>
              <w:left w:val="outset" w:color="auto" w:sz="6" w:space="0"/>
              <w:bottom w:val="outset" w:color="auto" w:sz="6" w:space="0"/>
              <w:right w:val="outset" w:color="auto" w:sz="6" w:space="0"/>
            </w:tcBorders>
            <w:noWrap/>
            <w:vAlign w:val="center"/>
          </w:tcPr>
          <w:p w14:paraId="65529169">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项目总监理工程师社保证明或退休证明</w:t>
            </w:r>
          </w:p>
        </w:tc>
        <w:tc>
          <w:tcPr>
            <w:tcW w:w="2551" w:type="dxa"/>
            <w:tcBorders>
              <w:top w:val="outset" w:color="auto" w:sz="6" w:space="0"/>
              <w:left w:val="outset" w:color="auto" w:sz="6" w:space="0"/>
              <w:bottom w:val="outset" w:color="auto" w:sz="6" w:space="0"/>
              <w:right w:val="outset" w:color="auto" w:sz="6" w:space="0"/>
            </w:tcBorders>
            <w:noWrap/>
            <w:vAlign w:val="center"/>
          </w:tcPr>
          <w:p w14:paraId="2B662826">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开标截止时间前半年内在该单位连续三个月的</w:t>
            </w:r>
            <w:r>
              <w:rPr>
                <w:rFonts w:hint="eastAsia" w:ascii="宋体" w:hAnsi="宋体" w:cs="仿宋_GB2312"/>
                <w:color w:val="auto"/>
                <w:kern w:val="0"/>
                <w:sz w:val="20"/>
                <w:szCs w:val="21"/>
                <w:highlight w:val="none"/>
                <w:lang w:eastAsia="zh-CN"/>
              </w:rPr>
              <w:t>社保缴纳证明或退休证明</w:t>
            </w:r>
            <w:r>
              <w:rPr>
                <w:rFonts w:hint="eastAsia" w:ascii="宋体" w:hAnsi="宋体" w:cs="仿宋_GB2312"/>
                <w:color w:val="auto"/>
                <w:kern w:val="0"/>
                <w:sz w:val="20"/>
                <w:szCs w:val="21"/>
                <w:highlight w:val="none"/>
              </w:rPr>
              <w:t>。</w:t>
            </w:r>
          </w:p>
        </w:tc>
        <w:tc>
          <w:tcPr>
            <w:tcW w:w="2390" w:type="dxa"/>
            <w:tcBorders>
              <w:top w:val="outset" w:color="auto" w:sz="6" w:space="0"/>
              <w:left w:val="outset" w:color="auto" w:sz="6" w:space="0"/>
              <w:bottom w:val="outset" w:color="auto" w:sz="6" w:space="0"/>
              <w:right w:val="outset" w:color="auto" w:sz="6" w:space="0"/>
            </w:tcBorders>
            <w:noWrap/>
            <w:vAlign w:val="center"/>
          </w:tcPr>
          <w:p w14:paraId="6E019EDF">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提供在社保平台下载的社保缴纳情况打印件</w:t>
            </w:r>
            <w:r>
              <w:rPr>
                <w:rFonts w:hint="eastAsia" w:ascii="宋体" w:hAnsi="宋体" w:cs="仿宋_GB2312"/>
                <w:color w:val="auto"/>
                <w:kern w:val="0"/>
                <w:sz w:val="20"/>
                <w:szCs w:val="21"/>
                <w:highlight w:val="none"/>
                <w:lang w:val="en-US" w:eastAsia="zh-CN"/>
              </w:rPr>
              <w:t>或由社保部门出具的</w:t>
            </w:r>
            <w:r>
              <w:rPr>
                <w:rFonts w:hint="eastAsia" w:ascii="宋体" w:hAnsi="宋体" w:cs="仿宋_GB2312"/>
                <w:color w:val="auto"/>
                <w:kern w:val="0"/>
                <w:sz w:val="20"/>
                <w:szCs w:val="21"/>
                <w:highlight w:val="none"/>
                <w:lang w:eastAsia="zh-CN"/>
              </w:rPr>
              <w:t>社保缴纳证明或退休证明材料及劳</w:t>
            </w:r>
            <w:r>
              <w:rPr>
                <w:rFonts w:hint="eastAsia" w:ascii="宋体" w:hAnsi="宋体" w:cs="仿宋_GB2312"/>
                <w:color w:val="auto"/>
                <w:kern w:val="0"/>
                <w:sz w:val="20"/>
                <w:szCs w:val="21"/>
                <w:highlight w:val="none"/>
                <w:lang w:val="en-US" w:eastAsia="zh-CN"/>
              </w:rPr>
              <w:t>务</w:t>
            </w:r>
            <w:r>
              <w:rPr>
                <w:rFonts w:hint="eastAsia" w:ascii="宋体" w:hAnsi="宋体" w:cs="仿宋_GB2312"/>
                <w:color w:val="auto"/>
                <w:kern w:val="0"/>
                <w:sz w:val="20"/>
                <w:szCs w:val="21"/>
                <w:highlight w:val="none"/>
                <w:lang w:eastAsia="zh-CN"/>
              </w:rPr>
              <w:t>合同</w:t>
            </w:r>
            <w:r>
              <w:rPr>
                <w:rFonts w:hint="eastAsia" w:ascii="宋体" w:hAnsi="宋体" w:cs="仿宋_GB2312"/>
                <w:color w:val="auto"/>
                <w:kern w:val="0"/>
                <w:sz w:val="20"/>
                <w:szCs w:val="21"/>
                <w:highlight w:val="none"/>
              </w:rPr>
              <w:t>。</w:t>
            </w:r>
          </w:p>
        </w:tc>
        <w:tc>
          <w:tcPr>
            <w:tcW w:w="2510" w:type="dxa"/>
            <w:tcBorders>
              <w:left w:val="outset" w:color="auto" w:sz="6" w:space="0"/>
              <w:bottom w:val="outset" w:color="auto" w:sz="6" w:space="0"/>
              <w:right w:val="outset" w:color="auto" w:sz="6" w:space="0"/>
            </w:tcBorders>
            <w:noWrap/>
            <w:vAlign w:val="center"/>
          </w:tcPr>
          <w:p w14:paraId="6A787B2B">
            <w:pPr>
              <w:adjustRightInd w:val="0"/>
              <w:snapToGrid w:val="0"/>
              <w:spacing w:line="300" w:lineRule="exact"/>
              <w:jc w:val="left"/>
              <w:rPr>
                <w:rFonts w:ascii="宋体" w:hAnsi="宋体" w:cs="仿宋_GB2312"/>
                <w:color w:val="auto"/>
                <w:kern w:val="0"/>
                <w:sz w:val="20"/>
                <w:szCs w:val="21"/>
                <w:highlight w:val="none"/>
              </w:rPr>
            </w:pPr>
          </w:p>
        </w:tc>
      </w:tr>
      <w:tr w14:paraId="207E5B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04"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47B823EC">
            <w:pPr>
              <w:widowControl/>
              <w:adjustRightInd w:val="0"/>
              <w:snapToGrid w:val="0"/>
              <w:spacing w:line="300" w:lineRule="exact"/>
              <w:jc w:val="center"/>
              <w:rPr>
                <w:rFonts w:asciiTheme="minorEastAsia" w:hAnsiTheme="minorEastAsia" w:eastAsiaTheme="minorEastAsia" w:cstheme="minorEastAsia"/>
                <w:color w:val="auto"/>
                <w:kern w:val="0"/>
                <w:sz w:val="18"/>
                <w:szCs w:val="18"/>
                <w:highlight w:val="none"/>
              </w:rPr>
            </w:pPr>
            <w:r>
              <w:rPr>
                <w:rFonts w:ascii="宋体" w:hAnsi="宋体" w:cs="仿宋_GB2312"/>
                <w:color w:val="auto"/>
                <w:kern w:val="0"/>
                <w:sz w:val="20"/>
                <w:szCs w:val="21"/>
                <w:highlight w:val="none"/>
              </w:rPr>
              <w:t>5</w:t>
            </w:r>
          </w:p>
        </w:tc>
        <w:tc>
          <w:tcPr>
            <w:tcW w:w="1618" w:type="dxa"/>
            <w:tcBorders>
              <w:top w:val="outset" w:color="auto" w:sz="6" w:space="0"/>
              <w:left w:val="outset" w:color="auto" w:sz="6" w:space="0"/>
              <w:bottom w:val="outset" w:color="auto" w:sz="6" w:space="0"/>
              <w:right w:val="outset" w:color="auto" w:sz="6" w:space="0"/>
            </w:tcBorders>
            <w:noWrap/>
            <w:vAlign w:val="center"/>
          </w:tcPr>
          <w:p w14:paraId="38D54933">
            <w:pPr>
              <w:widowControl/>
              <w:adjustRightInd w:val="0"/>
              <w:snapToGrid w:val="0"/>
              <w:spacing w:line="300" w:lineRule="exact"/>
              <w:jc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监理团队</w:t>
            </w:r>
          </w:p>
        </w:tc>
        <w:tc>
          <w:tcPr>
            <w:tcW w:w="2551" w:type="dxa"/>
            <w:tcBorders>
              <w:top w:val="outset" w:color="auto" w:sz="6" w:space="0"/>
              <w:left w:val="outset" w:color="auto" w:sz="6" w:space="0"/>
              <w:bottom w:val="outset" w:color="auto" w:sz="6" w:space="0"/>
              <w:right w:val="outset" w:color="auto" w:sz="6" w:space="0"/>
            </w:tcBorders>
            <w:noWrap/>
            <w:vAlign w:val="center"/>
          </w:tcPr>
          <w:p w14:paraId="29A304A2">
            <w:pPr>
              <w:widowControl/>
              <w:adjustRightInd w:val="0"/>
              <w:snapToGrid w:val="0"/>
              <w:spacing w:line="300" w:lineRule="exact"/>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拟组建的项目监理机构须满足本工程监理机构人员最低人数要求，专业人员配备齐全完全满足招标文件的资质、专业、岗位及最低人数要求。</w:t>
            </w:r>
          </w:p>
        </w:tc>
        <w:tc>
          <w:tcPr>
            <w:tcW w:w="2390" w:type="dxa"/>
            <w:tcBorders>
              <w:top w:val="outset" w:color="auto" w:sz="6" w:space="0"/>
              <w:left w:val="outset" w:color="auto" w:sz="6" w:space="0"/>
              <w:bottom w:val="outset" w:color="auto" w:sz="6" w:space="0"/>
              <w:right w:val="outset" w:color="auto" w:sz="6" w:space="0"/>
            </w:tcBorders>
            <w:noWrap/>
            <w:vAlign w:val="center"/>
          </w:tcPr>
          <w:p w14:paraId="2C26ECE5">
            <w:pPr>
              <w:adjustRightInd w:val="0"/>
              <w:snapToGrid w:val="0"/>
              <w:spacing w:line="300" w:lineRule="exact"/>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投标人应提供以下证明材料：</w:t>
            </w:r>
          </w:p>
          <w:p w14:paraId="457E1230">
            <w:pPr>
              <w:adjustRightInd w:val="0"/>
              <w:snapToGrid w:val="0"/>
              <w:spacing w:line="300" w:lineRule="exact"/>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①拟派项目</w:t>
            </w:r>
            <w:r>
              <w:rPr>
                <w:rFonts w:hint="eastAsia" w:asciiTheme="minorEastAsia" w:hAnsiTheme="minorEastAsia" w:eastAsiaTheme="minorEastAsia" w:cstheme="minorEastAsia"/>
                <w:b/>
                <w:color w:val="auto"/>
                <w:kern w:val="0"/>
                <w:sz w:val="18"/>
                <w:szCs w:val="18"/>
                <w:highlight w:val="none"/>
              </w:rPr>
              <w:t>总监理工程师</w:t>
            </w:r>
            <w:r>
              <w:rPr>
                <w:rFonts w:hint="eastAsia" w:asciiTheme="minorEastAsia" w:hAnsiTheme="minorEastAsia" w:eastAsiaTheme="minorEastAsia" w:cstheme="minorEastAsia"/>
                <w:color w:val="auto"/>
                <w:kern w:val="0"/>
                <w:sz w:val="18"/>
                <w:szCs w:val="18"/>
                <w:highlight w:val="none"/>
              </w:rPr>
              <w:t>的国家注册监理工程师注册执业证书和开标截止时间前半年内在该投标单位连续三个月的</w:t>
            </w:r>
            <w:r>
              <w:rPr>
                <w:rFonts w:hint="eastAsia" w:asciiTheme="minorEastAsia" w:hAnsiTheme="minorEastAsia" w:eastAsiaTheme="minorEastAsia" w:cstheme="minorEastAsia"/>
                <w:color w:val="auto"/>
                <w:kern w:val="0"/>
                <w:sz w:val="18"/>
                <w:szCs w:val="18"/>
                <w:highlight w:val="none"/>
                <w:lang w:eastAsia="zh-CN"/>
              </w:rPr>
              <w:t>社保缴纳证明</w:t>
            </w:r>
            <w:r>
              <w:rPr>
                <w:rFonts w:hint="eastAsia" w:asciiTheme="minorEastAsia" w:hAnsiTheme="minorEastAsia" w:eastAsiaTheme="minorEastAsia" w:cstheme="minorEastAsia"/>
                <w:b/>
                <w:bCs/>
                <w:color w:val="auto"/>
                <w:kern w:val="0"/>
                <w:sz w:val="18"/>
                <w:szCs w:val="18"/>
                <w:highlight w:val="none"/>
                <w:lang w:eastAsia="zh-CN"/>
              </w:rPr>
              <w:t>（若为退休人员，须同时提供退休证明材料及劳动合同）</w:t>
            </w:r>
            <w:r>
              <w:rPr>
                <w:rFonts w:hint="eastAsia" w:asciiTheme="minorEastAsia" w:hAnsiTheme="minorEastAsia" w:eastAsiaTheme="minorEastAsia" w:cstheme="minorEastAsia"/>
                <w:color w:val="auto"/>
                <w:kern w:val="0"/>
                <w:sz w:val="18"/>
                <w:szCs w:val="18"/>
                <w:highlight w:val="none"/>
              </w:rPr>
              <w:t>及中华人民共和国居民身份证；</w:t>
            </w:r>
          </w:p>
          <w:p w14:paraId="12DC8886">
            <w:pPr>
              <w:widowControl/>
              <w:ind w:right="144" w:rightChars="69"/>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②拟派各</w:t>
            </w:r>
            <w:r>
              <w:rPr>
                <w:rFonts w:hint="eastAsia" w:asciiTheme="minorEastAsia" w:hAnsiTheme="minorEastAsia" w:eastAsiaTheme="minorEastAsia" w:cstheme="minorEastAsia"/>
                <w:b/>
                <w:bCs/>
                <w:color w:val="auto"/>
                <w:kern w:val="0"/>
                <w:sz w:val="18"/>
                <w:szCs w:val="18"/>
                <w:highlight w:val="none"/>
              </w:rPr>
              <w:t>专业监理工程师</w:t>
            </w:r>
            <w:r>
              <w:rPr>
                <w:rFonts w:hint="eastAsia" w:asciiTheme="minorEastAsia" w:hAnsiTheme="minorEastAsia" w:eastAsiaTheme="minorEastAsia" w:cstheme="minorEastAsia"/>
                <w:color w:val="auto"/>
                <w:kern w:val="0"/>
                <w:sz w:val="18"/>
                <w:szCs w:val="18"/>
                <w:highlight w:val="none"/>
              </w:rPr>
              <w:t>的国家注册监理工程师注册执业证书和开标截止时间前半年内在该投标单位</w:t>
            </w:r>
            <w:r>
              <w:rPr>
                <w:rFonts w:hint="eastAsia" w:asciiTheme="minorEastAsia" w:hAnsiTheme="minorEastAsia" w:eastAsiaTheme="minorEastAsia" w:cstheme="minorEastAsia"/>
                <w:b/>
                <w:bCs/>
                <w:color w:val="auto"/>
                <w:kern w:val="0"/>
                <w:sz w:val="18"/>
                <w:szCs w:val="18"/>
                <w:highlight w:val="none"/>
              </w:rPr>
              <w:t>连续</w:t>
            </w:r>
            <w:r>
              <w:rPr>
                <w:rFonts w:hint="eastAsia" w:asciiTheme="minorEastAsia" w:hAnsiTheme="minorEastAsia" w:eastAsiaTheme="minorEastAsia" w:cstheme="minorEastAsia"/>
                <w:color w:val="auto"/>
                <w:kern w:val="0"/>
                <w:sz w:val="18"/>
                <w:szCs w:val="18"/>
                <w:highlight w:val="none"/>
              </w:rPr>
              <w:t>三个月的</w:t>
            </w:r>
            <w:r>
              <w:rPr>
                <w:rFonts w:hint="eastAsia" w:asciiTheme="minorEastAsia" w:hAnsiTheme="minorEastAsia" w:eastAsiaTheme="minorEastAsia" w:cstheme="minorEastAsia"/>
                <w:color w:val="auto"/>
                <w:kern w:val="0"/>
                <w:sz w:val="18"/>
                <w:szCs w:val="18"/>
                <w:highlight w:val="none"/>
                <w:lang w:eastAsia="zh-CN"/>
              </w:rPr>
              <w:t>社保缴纳证明</w:t>
            </w:r>
            <w:r>
              <w:rPr>
                <w:rFonts w:hint="eastAsia" w:asciiTheme="minorEastAsia" w:hAnsiTheme="minorEastAsia" w:eastAsiaTheme="minorEastAsia" w:cstheme="minorEastAsia"/>
                <w:b/>
                <w:bCs/>
                <w:color w:val="auto"/>
                <w:kern w:val="0"/>
                <w:sz w:val="18"/>
                <w:szCs w:val="18"/>
                <w:highlight w:val="none"/>
                <w:lang w:eastAsia="zh-CN"/>
              </w:rPr>
              <w:t>（若为退休人员，须同时提供退休证明材料及劳动合同）</w:t>
            </w:r>
            <w:r>
              <w:rPr>
                <w:rFonts w:hint="eastAsia" w:asciiTheme="minorEastAsia" w:hAnsiTheme="minorEastAsia" w:eastAsiaTheme="minorEastAsia" w:cstheme="minorEastAsia"/>
                <w:color w:val="auto"/>
                <w:kern w:val="0"/>
                <w:sz w:val="18"/>
                <w:szCs w:val="18"/>
                <w:highlight w:val="none"/>
              </w:rPr>
              <w:t>及中华人民共和国居民身份证。</w:t>
            </w:r>
          </w:p>
          <w:p w14:paraId="0F350D96">
            <w:pPr>
              <w:widowControl/>
              <w:ind w:right="144" w:rightChars="69"/>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③拟派</w:t>
            </w:r>
            <w:r>
              <w:rPr>
                <w:rFonts w:hint="eastAsia" w:asciiTheme="minorEastAsia" w:hAnsiTheme="minorEastAsia" w:eastAsiaTheme="minorEastAsia" w:cstheme="minorEastAsia"/>
                <w:b/>
                <w:bCs/>
                <w:color w:val="auto"/>
                <w:kern w:val="0"/>
                <w:sz w:val="18"/>
                <w:szCs w:val="18"/>
                <w:highlight w:val="none"/>
              </w:rPr>
              <w:t>监理员(见证员）</w:t>
            </w:r>
            <w:r>
              <w:rPr>
                <w:rFonts w:hint="eastAsia" w:asciiTheme="minorEastAsia" w:hAnsiTheme="minorEastAsia" w:eastAsiaTheme="minorEastAsia" w:cstheme="minorEastAsia"/>
                <w:b/>
                <w:bCs/>
                <w:color w:val="auto"/>
                <w:kern w:val="0"/>
                <w:sz w:val="18"/>
                <w:szCs w:val="18"/>
                <w:highlight w:val="none"/>
                <w:lang w:val="en-US" w:eastAsia="zh-CN"/>
              </w:rPr>
              <w:t>在</w:t>
            </w:r>
            <w:r>
              <w:rPr>
                <w:rFonts w:hint="eastAsia" w:asciiTheme="minorEastAsia" w:hAnsiTheme="minorEastAsia" w:eastAsiaTheme="minorEastAsia" w:cstheme="minorEastAsia"/>
                <w:color w:val="auto"/>
                <w:kern w:val="0"/>
                <w:sz w:val="18"/>
                <w:szCs w:val="18"/>
                <w:highlight w:val="none"/>
              </w:rPr>
              <w:t>开标截止时间前半年内在该投标单位连续三个月的</w:t>
            </w:r>
            <w:r>
              <w:rPr>
                <w:rFonts w:hint="eastAsia" w:asciiTheme="minorEastAsia" w:hAnsiTheme="minorEastAsia" w:eastAsiaTheme="minorEastAsia" w:cstheme="minorEastAsia"/>
                <w:color w:val="auto"/>
                <w:kern w:val="0"/>
                <w:sz w:val="18"/>
                <w:szCs w:val="18"/>
                <w:highlight w:val="none"/>
                <w:lang w:eastAsia="zh-CN"/>
              </w:rPr>
              <w:t>社保缴纳证明</w:t>
            </w:r>
            <w:r>
              <w:rPr>
                <w:rFonts w:hint="eastAsia" w:asciiTheme="minorEastAsia" w:hAnsiTheme="minorEastAsia" w:eastAsiaTheme="minorEastAsia" w:cstheme="minorEastAsia"/>
                <w:b/>
                <w:bCs/>
                <w:color w:val="auto"/>
                <w:kern w:val="0"/>
                <w:sz w:val="18"/>
                <w:szCs w:val="18"/>
                <w:highlight w:val="none"/>
                <w:lang w:eastAsia="zh-CN"/>
              </w:rPr>
              <w:t>（若为退休人员，须同时提供退休证明材料及劳动合同）</w:t>
            </w:r>
            <w:r>
              <w:rPr>
                <w:rFonts w:hint="eastAsia" w:asciiTheme="minorEastAsia" w:hAnsiTheme="minorEastAsia" w:eastAsiaTheme="minorEastAsia" w:cstheme="minorEastAsia"/>
                <w:color w:val="auto"/>
                <w:kern w:val="0"/>
                <w:sz w:val="18"/>
                <w:szCs w:val="18"/>
                <w:highlight w:val="none"/>
              </w:rPr>
              <w:t>及中华人民共和国居民身份证。</w:t>
            </w:r>
          </w:p>
        </w:tc>
        <w:tc>
          <w:tcPr>
            <w:tcW w:w="2510" w:type="dxa"/>
            <w:tcBorders>
              <w:top w:val="outset" w:color="auto" w:sz="6" w:space="0"/>
              <w:left w:val="outset" w:color="auto" w:sz="6" w:space="0"/>
              <w:right w:val="outset" w:color="auto" w:sz="6" w:space="0"/>
            </w:tcBorders>
            <w:noWrap/>
            <w:vAlign w:val="center"/>
          </w:tcPr>
          <w:p w14:paraId="3099B9E1">
            <w:pPr>
              <w:widowControl/>
              <w:jc w:val="left"/>
              <w:rPr>
                <w:rFonts w:asciiTheme="minorEastAsia" w:hAnsiTheme="minorEastAsia" w:eastAsiaTheme="minorEastAsia" w:cstheme="minorEastAsia"/>
                <w:color w:val="auto"/>
                <w:kern w:val="0"/>
                <w:sz w:val="18"/>
                <w:szCs w:val="18"/>
                <w:highlight w:val="none"/>
              </w:rPr>
            </w:pPr>
            <w:r>
              <w:rPr>
                <w:rFonts w:hint="eastAsia" w:ascii="宋体" w:hAnsi="宋体" w:cs="宋体"/>
                <w:b/>
                <w:color w:val="auto"/>
                <w:kern w:val="0"/>
                <w:sz w:val="20"/>
                <w:highlight w:val="none"/>
              </w:rPr>
              <w:t>项目监理机构成员</w:t>
            </w:r>
            <w:r>
              <w:rPr>
                <w:rFonts w:hint="eastAsia" w:ascii="宋体" w:hAnsi="宋体" w:cs="宋体"/>
                <w:b/>
                <w:bCs/>
                <w:color w:val="auto"/>
                <w:kern w:val="0"/>
                <w:sz w:val="20"/>
                <w:highlight w:val="none"/>
              </w:rPr>
              <w:t>清单</w:t>
            </w:r>
            <w:r>
              <w:rPr>
                <w:rFonts w:hint="eastAsia" w:ascii="宋体" w:hAnsi="宋体" w:cs="宋体"/>
                <w:b/>
                <w:color w:val="auto"/>
                <w:kern w:val="0"/>
                <w:sz w:val="20"/>
                <w:highlight w:val="none"/>
              </w:rPr>
              <w:t>表</w:t>
            </w:r>
            <w:r>
              <w:rPr>
                <w:rFonts w:hint="eastAsia" w:ascii="宋体" w:hAnsi="宋体" w:cs="宋体"/>
                <w:color w:val="auto"/>
                <w:kern w:val="0"/>
                <w:sz w:val="20"/>
                <w:highlight w:val="none"/>
              </w:rPr>
              <w:t>及相应资格证明材料（提供材料加盖公章装订在投标文件中）。</w:t>
            </w:r>
          </w:p>
        </w:tc>
      </w:tr>
      <w:tr w14:paraId="57B2C7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213FC2B6">
            <w:pPr>
              <w:widowControl/>
              <w:jc w:val="center"/>
              <w:rPr>
                <w:rFonts w:ascii="宋体" w:hAnsi="宋体" w:cs="仿宋_GB2312"/>
                <w:color w:val="auto"/>
                <w:kern w:val="0"/>
                <w:sz w:val="20"/>
                <w:szCs w:val="21"/>
                <w:highlight w:val="none"/>
              </w:rPr>
            </w:pPr>
            <w:r>
              <w:rPr>
                <w:rFonts w:hint="eastAsia" w:asciiTheme="minorEastAsia" w:hAnsiTheme="minorEastAsia" w:eastAsiaTheme="minorEastAsia" w:cstheme="minorEastAsia"/>
                <w:color w:val="auto"/>
                <w:kern w:val="0"/>
                <w:sz w:val="18"/>
                <w:szCs w:val="18"/>
                <w:highlight w:val="none"/>
              </w:rPr>
              <w:t>6</w:t>
            </w:r>
          </w:p>
        </w:tc>
        <w:tc>
          <w:tcPr>
            <w:tcW w:w="1618" w:type="dxa"/>
            <w:tcBorders>
              <w:top w:val="outset" w:color="auto" w:sz="6" w:space="0"/>
              <w:left w:val="outset" w:color="auto" w:sz="6" w:space="0"/>
              <w:bottom w:val="outset" w:color="auto" w:sz="6" w:space="0"/>
              <w:right w:val="outset" w:color="auto" w:sz="6" w:space="0"/>
            </w:tcBorders>
            <w:noWrap/>
            <w:vAlign w:val="center"/>
          </w:tcPr>
          <w:p w14:paraId="7C4711D1">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诚信承诺书</w:t>
            </w:r>
          </w:p>
        </w:tc>
        <w:tc>
          <w:tcPr>
            <w:tcW w:w="2551" w:type="dxa"/>
            <w:tcBorders>
              <w:top w:val="outset" w:color="auto" w:sz="6" w:space="0"/>
              <w:left w:val="outset" w:color="auto" w:sz="6" w:space="0"/>
              <w:bottom w:val="outset" w:color="auto" w:sz="6" w:space="0"/>
              <w:right w:val="outset" w:color="auto" w:sz="6" w:space="0"/>
            </w:tcBorders>
            <w:noWrap/>
            <w:vAlign w:val="center"/>
          </w:tcPr>
          <w:p w14:paraId="7EFFFDD0">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投标诚信承诺，按格式要求填写</w:t>
            </w:r>
          </w:p>
        </w:tc>
        <w:tc>
          <w:tcPr>
            <w:tcW w:w="2390" w:type="dxa"/>
            <w:tcBorders>
              <w:top w:val="outset" w:color="auto" w:sz="6" w:space="0"/>
              <w:left w:val="outset" w:color="auto" w:sz="6" w:space="0"/>
              <w:bottom w:val="outset" w:color="auto" w:sz="6" w:space="0"/>
              <w:right w:val="outset" w:color="auto" w:sz="6" w:space="0"/>
            </w:tcBorders>
            <w:noWrap/>
          </w:tcPr>
          <w:p w14:paraId="1C0F3B13">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由法定代表人签字或盖章并加盖公章的承诺书</w:t>
            </w:r>
          </w:p>
        </w:tc>
        <w:tc>
          <w:tcPr>
            <w:tcW w:w="2510" w:type="dxa"/>
            <w:vMerge w:val="restart"/>
            <w:tcBorders>
              <w:top w:val="outset" w:color="auto" w:sz="6" w:space="0"/>
              <w:left w:val="outset" w:color="auto" w:sz="6" w:space="0"/>
              <w:right w:val="outset" w:color="auto" w:sz="6" w:space="0"/>
            </w:tcBorders>
            <w:noWrap/>
            <w:vAlign w:val="center"/>
          </w:tcPr>
          <w:p w14:paraId="6AF06BCE">
            <w:pPr>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复印件加盖公章装订在投标文件中</w:t>
            </w:r>
          </w:p>
        </w:tc>
      </w:tr>
      <w:tr w14:paraId="677930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51E8A439">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7</w:t>
            </w:r>
          </w:p>
        </w:tc>
        <w:tc>
          <w:tcPr>
            <w:tcW w:w="1618" w:type="dxa"/>
            <w:tcBorders>
              <w:top w:val="outset" w:color="auto" w:sz="6" w:space="0"/>
              <w:left w:val="outset" w:color="auto" w:sz="6" w:space="0"/>
              <w:bottom w:val="outset" w:color="auto" w:sz="6" w:space="0"/>
              <w:right w:val="outset" w:color="auto" w:sz="6" w:space="0"/>
            </w:tcBorders>
            <w:noWrap/>
            <w:vAlign w:val="center"/>
          </w:tcPr>
          <w:p w14:paraId="0E55A07B">
            <w:pPr>
              <w:widowControl/>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承诺书</w:t>
            </w:r>
          </w:p>
        </w:tc>
        <w:tc>
          <w:tcPr>
            <w:tcW w:w="2551" w:type="dxa"/>
            <w:tcBorders>
              <w:top w:val="outset" w:color="auto" w:sz="6" w:space="0"/>
              <w:left w:val="outset" w:color="auto" w:sz="6" w:space="0"/>
              <w:bottom w:val="outset" w:color="auto" w:sz="6" w:space="0"/>
              <w:right w:val="outset" w:color="auto" w:sz="6" w:space="0"/>
            </w:tcBorders>
            <w:noWrap/>
          </w:tcPr>
          <w:p w14:paraId="2B144C22">
            <w:pPr>
              <w:tabs>
                <w:tab w:val="left" w:pos="7560"/>
              </w:tabs>
              <w:adjustRightInd w:val="0"/>
              <w:spacing w:beforeLines="20" w:afterLines="20" w:line="360" w:lineRule="auto"/>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项目总监到岗承诺书，按格式要求填写、签章</w:t>
            </w:r>
          </w:p>
        </w:tc>
        <w:tc>
          <w:tcPr>
            <w:tcW w:w="2390" w:type="dxa"/>
            <w:tcBorders>
              <w:top w:val="outset" w:color="auto" w:sz="6" w:space="0"/>
              <w:left w:val="outset" w:color="auto" w:sz="6" w:space="0"/>
              <w:bottom w:val="outset" w:color="auto" w:sz="6" w:space="0"/>
              <w:right w:val="outset" w:color="auto" w:sz="6" w:space="0"/>
            </w:tcBorders>
            <w:noWrap/>
            <w:vAlign w:val="center"/>
          </w:tcPr>
          <w:p w14:paraId="5A0B62E2">
            <w:pPr>
              <w:widowControl/>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由法定代表人签署并加盖公章的承诺书</w:t>
            </w:r>
          </w:p>
        </w:tc>
        <w:tc>
          <w:tcPr>
            <w:tcW w:w="2510" w:type="dxa"/>
            <w:vMerge w:val="continue"/>
            <w:tcBorders>
              <w:top w:val="outset" w:color="auto" w:sz="6" w:space="0"/>
              <w:left w:val="outset" w:color="auto" w:sz="6" w:space="0"/>
              <w:right w:val="outset" w:color="auto" w:sz="6" w:space="0"/>
            </w:tcBorders>
            <w:noWrap/>
            <w:vAlign w:val="center"/>
          </w:tcPr>
          <w:p w14:paraId="3C82003A">
            <w:pPr>
              <w:adjustRightInd w:val="0"/>
              <w:snapToGrid w:val="0"/>
              <w:spacing w:line="300" w:lineRule="exact"/>
              <w:jc w:val="left"/>
              <w:rPr>
                <w:rFonts w:ascii="宋体" w:hAnsi="宋体" w:cs="仿宋_GB2312"/>
                <w:color w:val="auto"/>
                <w:kern w:val="0"/>
                <w:sz w:val="20"/>
                <w:szCs w:val="21"/>
                <w:highlight w:val="none"/>
              </w:rPr>
            </w:pPr>
          </w:p>
        </w:tc>
      </w:tr>
      <w:tr w14:paraId="01AC86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14:paraId="204F3B9E">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8</w:t>
            </w:r>
          </w:p>
        </w:tc>
        <w:tc>
          <w:tcPr>
            <w:tcW w:w="1618" w:type="dxa"/>
            <w:tcBorders>
              <w:top w:val="outset" w:color="auto" w:sz="6" w:space="0"/>
              <w:left w:val="outset" w:color="auto" w:sz="6" w:space="0"/>
              <w:bottom w:val="outset" w:color="auto" w:sz="6" w:space="0"/>
              <w:right w:val="outset" w:color="auto" w:sz="6" w:space="0"/>
            </w:tcBorders>
            <w:noWrap/>
            <w:vAlign w:val="center"/>
          </w:tcPr>
          <w:p w14:paraId="0C09DF12">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授权委托书</w:t>
            </w:r>
          </w:p>
        </w:tc>
        <w:tc>
          <w:tcPr>
            <w:tcW w:w="2551" w:type="dxa"/>
            <w:tcBorders>
              <w:top w:val="outset" w:color="auto" w:sz="6" w:space="0"/>
              <w:left w:val="outset" w:color="auto" w:sz="6" w:space="0"/>
              <w:bottom w:val="outset" w:color="auto" w:sz="6" w:space="0"/>
              <w:right w:val="outset" w:color="auto" w:sz="6" w:space="0"/>
            </w:tcBorders>
            <w:noWrap/>
            <w:vAlign w:val="center"/>
          </w:tcPr>
          <w:p w14:paraId="4E84E9CA">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委托人到场的，需授权委托书；法人到场的，无需授权委托书。</w:t>
            </w:r>
          </w:p>
        </w:tc>
        <w:tc>
          <w:tcPr>
            <w:tcW w:w="2390" w:type="dxa"/>
            <w:tcBorders>
              <w:top w:val="outset" w:color="auto" w:sz="6" w:space="0"/>
              <w:left w:val="outset" w:color="auto" w:sz="6" w:space="0"/>
              <w:bottom w:val="outset" w:color="auto" w:sz="6" w:space="0"/>
              <w:right w:val="outset" w:color="auto" w:sz="6" w:space="0"/>
            </w:tcBorders>
            <w:noWrap/>
            <w:vAlign w:val="center"/>
          </w:tcPr>
          <w:p w14:paraId="78540411">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按给定格式要求填写、签字（盖章）。</w:t>
            </w:r>
          </w:p>
        </w:tc>
        <w:tc>
          <w:tcPr>
            <w:tcW w:w="2510" w:type="dxa"/>
            <w:vMerge w:val="continue"/>
            <w:tcBorders>
              <w:left w:val="outset" w:color="auto" w:sz="6" w:space="0"/>
              <w:bottom w:val="outset" w:color="auto" w:sz="6" w:space="0"/>
              <w:right w:val="outset" w:color="auto" w:sz="6" w:space="0"/>
            </w:tcBorders>
            <w:noWrap/>
            <w:vAlign w:val="center"/>
          </w:tcPr>
          <w:p w14:paraId="03EE1A0C">
            <w:pPr>
              <w:widowControl/>
              <w:adjustRightInd w:val="0"/>
              <w:snapToGrid w:val="0"/>
              <w:spacing w:line="300" w:lineRule="exact"/>
              <w:jc w:val="left"/>
              <w:rPr>
                <w:rFonts w:ascii="宋体" w:hAnsi="宋体" w:cs="仿宋_GB2312"/>
                <w:color w:val="auto"/>
                <w:kern w:val="0"/>
                <w:sz w:val="20"/>
                <w:szCs w:val="21"/>
                <w:highlight w:val="none"/>
              </w:rPr>
            </w:pPr>
          </w:p>
        </w:tc>
      </w:tr>
    </w:tbl>
    <w:p w14:paraId="72E51562">
      <w:pPr>
        <w:widowControl/>
        <w:spacing w:line="360" w:lineRule="auto"/>
        <w:jc w:val="left"/>
        <w:rPr>
          <w:rFonts w:ascii="宋体" w:hAnsi="宋体" w:cs="仿宋_GB2312"/>
          <w:color w:val="auto"/>
          <w:szCs w:val="21"/>
          <w:highlight w:val="none"/>
        </w:rPr>
      </w:pPr>
      <w:r>
        <w:rPr>
          <w:rFonts w:hint="eastAsia" w:ascii="宋体" w:hAnsi="宋体" w:cs="宋体"/>
          <w:color w:val="auto"/>
          <w:szCs w:val="21"/>
          <w:highlight w:val="none"/>
        </w:rPr>
        <w:t> </w:t>
      </w:r>
      <w:r>
        <w:rPr>
          <w:rFonts w:hint="eastAsia" w:ascii="宋体" w:hAnsi="宋体" w:cs="仿宋_GB2312"/>
          <w:color w:val="auto"/>
          <w:szCs w:val="21"/>
          <w:highlight w:val="none"/>
        </w:rPr>
        <w:t>注: （1）以上各项中有一项不符合即为不合格。第</w:t>
      </w:r>
      <w:r>
        <w:rPr>
          <w:rFonts w:hint="eastAsia" w:ascii="宋体" w:hAnsi="宋体" w:cs="仿宋_GB2312"/>
          <w:color w:val="auto"/>
          <w:szCs w:val="21"/>
          <w:highlight w:val="none"/>
          <w:lang w:val="en-US" w:eastAsia="zh-CN"/>
        </w:rPr>
        <w:t>8</w:t>
      </w:r>
      <w:r>
        <w:rPr>
          <w:rFonts w:hint="eastAsia" w:ascii="宋体" w:hAnsi="宋体" w:cs="仿宋_GB2312"/>
          <w:color w:val="auto"/>
          <w:szCs w:val="21"/>
          <w:highlight w:val="none"/>
        </w:rPr>
        <w:t>项中的授权委托书及法定代表人身份证明书必须提供，身份证扫描件或复印件不作为</w:t>
      </w:r>
      <w:r>
        <w:rPr>
          <w:rFonts w:hint="eastAsia" w:ascii="宋体" w:hAnsi="宋体" w:cs="仿宋_GB2312"/>
          <w:color w:val="auto"/>
          <w:szCs w:val="21"/>
          <w:highlight w:val="none"/>
          <w:lang w:eastAsia="zh-CN"/>
        </w:rPr>
        <w:t>否决投标</w:t>
      </w:r>
      <w:r>
        <w:rPr>
          <w:rFonts w:hint="eastAsia" w:ascii="宋体" w:hAnsi="宋体" w:cs="仿宋_GB2312"/>
          <w:color w:val="auto"/>
          <w:szCs w:val="21"/>
          <w:highlight w:val="none"/>
        </w:rPr>
        <w:t>条件，仅用作判定其澄清或异议效力的依据。</w:t>
      </w:r>
    </w:p>
    <w:p w14:paraId="569D9E0E">
      <w:pPr>
        <w:widowControl/>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（2）各类资质证明、营业执照、企业及项目监理团队人员的资质等级证书等均不要求投标人提供原件。</w:t>
      </w:r>
    </w:p>
    <w:p w14:paraId="55E1651B">
      <w:pPr>
        <w:widowControl/>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）资格审查未通过的投标文件将不进入技术标及商务标的评审。</w:t>
      </w:r>
    </w:p>
    <w:p w14:paraId="3453ECFF">
      <w:pPr>
        <w:widowControl/>
        <w:spacing w:line="360" w:lineRule="auto"/>
        <w:ind w:firstLine="420" w:firstLineChars="200"/>
        <w:jc w:val="left"/>
        <w:rPr>
          <w:rFonts w:ascii="宋体" w:hAnsi="宋体" w:cs="仿宋_GB2312"/>
          <w:color w:val="auto"/>
          <w:szCs w:val="21"/>
          <w:highlight w:val="none"/>
        </w:rPr>
      </w:pPr>
    </w:p>
    <w:p w14:paraId="6B4D3528">
      <w:pPr>
        <w:widowControl/>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四、投标文件技术标及商务标评审</w:t>
      </w:r>
      <w:r>
        <w:rPr>
          <w:rFonts w:hint="eastAsia" w:ascii="宋体" w:hAnsi="宋体" w:cs="宋体"/>
          <w:b/>
          <w:color w:val="auto"/>
          <w:sz w:val="24"/>
          <w:szCs w:val="24"/>
          <w:highlight w:val="none"/>
        </w:rPr>
        <w:tab/>
      </w:r>
    </w:p>
    <w:p w14:paraId="740B53AA">
      <w:pPr>
        <w:pStyle w:val="48"/>
        <w:spacing w:line="360" w:lineRule="auto"/>
        <w:ind w:firstLine="5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本项目采用综合评分法，即评标的基本分为100分。</w:t>
      </w:r>
    </w:p>
    <w:tbl>
      <w:tblPr>
        <w:tblStyle w:val="23"/>
        <w:tblW w:w="10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7" w:type="dxa"/>
          <w:left w:w="74" w:type="dxa"/>
          <w:bottom w:w="17" w:type="dxa"/>
          <w:right w:w="74" w:type="dxa"/>
        </w:tblCellMar>
      </w:tblPr>
      <w:tblGrid>
        <w:gridCol w:w="1131"/>
        <w:gridCol w:w="5007"/>
        <w:gridCol w:w="3904"/>
      </w:tblGrid>
      <w:tr w14:paraId="3806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06" w:hRule="atLeast"/>
          <w:jc w:val="center"/>
        </w:trPr>
        <w:tc>
          <w:tcPr>
            <w:tcW w:w="1131" w:type="dxa"/>
            <w:noWrap w:val="0"/>
            <w:vAlign w:val="center"/>
          </w:tcPr>
          <w:p w14:paraId="6A49A0A4">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评分项目</w:t>
            </w:r>
          </w:p>
        </w:tc>
        <w:tc>
          <w:tcPr>
            <w:tcW w:w="5007" w:type="dxa"/>
            <w:noWrap w:val="0"/>
            <w:vAlign w:val="center"/>
          </w:tcPr>
          <w:p w14:paraId="33FB947A">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评审内容及分值</w:t>
            </w:r>
          </w:p>
        </w:tc>
        <w:tc>
          <w:tcPr>
            <w:tcW w:w="3904" w:type="dxa"/>
            <w:noWrap w:val="0"/>
            <w:tcMar>
              <w:top w:w="0" w:type="dxa"/>
              <w:left w:w="108" w:type="dxa"/>
              <w:bottom w:w="0" w:type="dxa"/>
              <w:right w:w="108" w:type="dxa"/>
            </w:tcMar>
            <w:vAlign w:val="center"/>
          </w:tcPr>
          <w:p w14:paraId="5D3385B3">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评分方法</w:t>
            </w:r>
          </w:p>
        </w:tc>
      </w:tr>
      <w:tr w14:paraId="12B6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22" w:hRule="atLeast"/>
          <w:jc w:val="center"/>
        </w:trPr>
        <w:tc>
          <w:tcPr>
            <w:tcW w:w="1131" w:type="dxa"/>
            <w:vMerge w:val="restart"/>
            <w:noWrap w:val="0"/>
            <w:vAlign w:val="center"/>
          </w:tcPr>
          <w:p w14:paraId="37D278D4">
            <w:pPr>
              <w:widowControl/>
              <w:adjustRightInd w:val="0"/>
              <w:snapToGrid w:val="0"/>
              <w:spacing w:line="3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监理大纲</w:t>
            </w:r>
          </w:p>
          <w:p w14:paraId="5C254DCB">
            <w:pPr>
              <w:widowControl/>
              <w:adjustRightInd w:val="0"/>
              <w:snapToGrid w:val="0"/>
              <w:spacing w:line="300" w:lineRule="exact"/>
              <w:jc w:val="both"/>
              <w:rPr>
                <w:color w:val="auto"/>
                <w:sz w:val="28"/>
                <w:szCs w:val="36"/>
                <w:highlight w:val="none"/>
              </w:rPr>
            </w:pPr>
            <w:r>
              <w:rPr>
                <w:rFonts w:hint="eastAsia" w:ascii="宋体" w:hAnsi="宋体" w:cs="宋体"/>
                <w:b/>
                <w:color w:val="auto"/>
                <w:kern w:val="0"/>
                <w:sz w:val="22"/>
                <w:szCs w:val="22"/>
                <w:highlight w:val="none"/>
              </w:rPr>
              <w:t>（满分</w:t>
            </w:r>
            <w:r>
              <w:rPr>
                <w:rFonts w:hint="eastAsia" w:ascii="宋体" w:hAnsi="宋体" w:cs="宋体"/>
                <w:b/>
                <w:color w:val="auto"/>
                <w:kern w:val="0"/>
                <w:sz w:val="22"/>
                <w:szCs w:val="22"/>
                <w:highlight w:val="none"/>
                <w:lang w:val="en-US" w:eastAsia="zh-CN"/>
              </w:rPr>
              <w:t>3</w:t>
            </w:r>
            <w:r>
              <w:rPr>
                <w:rFonts w:hint="eastAsia" w:ascii="宋体" w:hAnsi="宋体" w:cs="宋体"/>
                <w:b/>
                <w:color w:val="auto"/>
                <w:kern w:val="0"/>
                <w:sz w:val="22"/>
                <w:szCs w:val="22"/>
                <w:highlight w:val="none"/>
              </w:rPr>
              <w:t>5分）</w:t>
            </w:r>
          </w:p>
        </w:tc>
        <w:tc>
          <w:tcPr>
            <w:tcW w:w="5007" w:type="dxa"/>
            <w:noWrap w:val="0"/>
            <w:vAlign w:val="center"/>
          </w:tcPr>
          <w:p w14:paraId="59637381">
            <w:pPr>
              <w:widowControl/>
              <w:numPr>
                <w:ilvl w:val="0"/>
                <w:numId w:val="0"/>
              </w:numPr>
              <w:jc w:val="left"/>
              <w:rPr>
                <w:rFonts w:hint="eastAsia" w:ascii="宋体" w:hAnsi="宋体" w:cs="宋体"/>
                <w:color w:val="auto"/>
                <w:kern w:val="0"/>
                <w:sz w:val="22"/>
                <w:szCs w:val="22"/>
                <w:highlight w:val="none"/>
              </w:rPr>
            </w:pPr>
            <w:r>
              <w:rPr>
                <w:color w:val="auto"/>
                <w:highlight w:val="none"/>
              </w:rPr>
              <w:t>（1）监理大纲内容齐全且符合现行规范要求。评委据此酌情打</w:t>
            </w:r>
            <w:r>
              <w:rPr>
                <w:color w:val="auto"/>
                <w:spacing w:val="-1"/>
                <w:highlight w:val="none"/>
              </w:rPr>
              <w:t>分，内容齐全完整得</w:t>
            </w:r>
            <w:r>
              <w:rPr>
                <w:color w:val="auto"/>
                <w:highlight w:val="none"/>
              </w:rPr>
              <w:t xml:space="preserve"> 4.1-5.0分，内容较齐全完整得3.1-4.0 分，一般得0.1-3.0分，不提供</w:t>
            </w:r>
            <w:r>
              <w:rPr>
                <w:color w:val="auto"/>
                <w:spacing w:val="-1"/>
                <w:highlight w:val="none"/>
              </w:rPr>
              <w:t>不得分。</w:t>
            </w:r>
          </w:p>
        </w:tc>
        <w:tc>
          <w:tcPr>
            <w:tcW w:w="3904" w:type="dxa"/>
            <w:vMerge w:val="restart"/>
            <w:noWrap w:val="0"/>
            <w:tcMar>
              <w:top w:w="0" w:type="dxa"/>
              <w:left w:w="108" w:type="dxa"/>
              <w:bottom w:w="0" w:type="dxa"/>
              <w:right w:w="108" w:type="dxa"/>
            </w:tcMar>
            <w:vAlign w:val="center"/>
          </w:tcPr>
          <w:p w14:paraId="7F89B8C1">
            <w:pPr>
              <w:widowControl/>
              <w:jc w:val="left"/>
              <w:rPr>
                <w:rFonts w:ascii="Times New Roman" w:hAnsi="Times New Roman" w:eastAsia="宋体" w:cs="Times New Roman"/>
                <w:color w:val="auto"/>
                <w:spacing w:val="-2"/>
                <w:highlight w:val="none"/>
              </w:rPr>
            </w:pPr>
            <w:r>
              <w:rPr>
                <w:rFonts w:ascii="Times New Roman" w:hAnsi="Times New Roman" w:eastAsia="宋体" w:cs="Times New Roman"/>
                <w:color w:val="auto"/>
                <w:spacing w:val="-2"/>
                <w:highlight w:val="none"/>
              </w:rPr>
              <w:t>①评标委员会成员按照每项评审内容，单独评审打分。</w:t>
            </w:r>
          </w:p>
          <w:p w14:paraId="6CF22326">
            <w:pPr>
              <w:widowControl/>
              <w:jc w:val="left"/>
              <w:rPr>
                <w:rFonts w:ascii="Times New Roman" w:hAnsi="Times New Roman" w:eastAsia="宋体" w:cs="Times New Roman"/>
                <w:color w:val="auto"/>
                <w:spacing w:val="-2"/>
                <w:highlight w:val="none"/>
              </w:rPr>
            </w:pPr>
            <w:r>
              <w:rPr>
                <w:rFonts w:ascii="Times New Roman" w:hAnsi="Times New Roman" w:eastAsia="宋体" w:cs="Times New Roman"/>
                <w:color w:val="auto"/>
                <w:spacing w:val="-2"/>
                <w:highlight w:val="none"/>
              </w:rPr>
              <w:t>②投标人监理大纲的最后得分计算方法为：取所有评委评分的算术平均值为投标人监理大纲的最终得分，小数点后四舍五入保留两位小数。</w:t>
            </w:r>
          </w:p>
          <w:p w14:paraId="7116134D">
            <w:pPr>
              <w:pStyle w:val="22"/>
              <w:ind w:firstLine="0" w:firstLineChars="0"/>
              <w:rPr>
                <w:rFonts w:ascii="宋体" w:hAnsi="宋体" w:cs="宋体"/>
                <w:color w:val="auto"/>
                <w:sz w:val="22"/>
                <w:szCs w:val="22"/>
                <w:highlight w:val="none"/>
              </w:rPr>
            </w:pPr>
            <w:r>
              <w:rPr>
                <w:rFonts w:ascii="Times New Roman" w:hAnsi="Times New Roman" w:eastAsia="宋体" w:cs="Times New Roman"/>
                <w:color w:val="auto"/>
                <w:spacing w:val="-2"/>
                <w:highlight w:val="none"/>
              </w:rPr>
              <w:t>③本评审项为评标委员会主观评审项，投标人的本项得分分值不予公布。</w:t>
            </w:r>
          </w:p>
        </w:tc>
      </w:tr>
      <w:tr w14:paraId="56238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64" w:hRule="atLeast"/>
          <w:jc w:val="center"/>
        </w:trPr>
        <w:tc>
          <w:tcPr>
            <w:tcW w:w="1131" w:type="dxa"/>
            <w:vMerge w:val="continue"/>
            <w:noWrap w:val="0"/>
            <w:vAlign w:val="center"/>
          </w:tcPr>
          <w:p w14:paraId="565FA9C0">
            <w:pPr>
              <w:widowControl/>
              <w:jc w:val="center"/>
              <w:rPr>
                <w:rFonts w:ascii="宋体" w:hAnsi="宋体" w:cs="宋体"/>
                <w:b/>
                <w:color w:val="auto"/>
                <w:kern w:val="0"/>
                <w:sz w:val="22"/>
                <w:szCs w:val="22"/>
                <w:highlight w:val="none"/>
              </w:rPr>
            </w:pPr>
          </w:p>
        </w:tc>
        <w:tc>
          <w:tcPr>
            <w:tcW w:w="5007" w:type="dxa"/>
            <w:noWrap w:val="0"/>
            <w:vAlign w:val="center"/>
          </w:tcPr>
          <w:p w14:paraId="6E44AEC3">
            <w:pPr>
              <w:widowControl/>
              <w:numPr>
                <w:ilvl w:val="0"/>
                <w:numId w:val="0"/>
              </w:numPr>
              <w:jc w:val="left"/>
              <w:rPr>
                <w:rFonts w:hint="eastAsia" w:ascii="宋体" w:hAnsi="宋体" w:cs="宋体"/>
                <w:color w:val="auto"/>
                <w:kern w:val="0"/>
                <w:sz w:val="22"/>
                <w:szCs w:val="22"/>
                <w:highlight w:val="none"/>
              </w:rPr>
            </w:pPr>
            <w:r>
              <w:rPr>
                <w:color w:val="auto"/>
                <w:spacing w:val="-2"/>
                <w:highlight w:val="none"/>
              </w:rPr>
              <w:t>（2）质量控制措施内容全面、工作流程得当、方案对本项目有针</w:t>
            </w:r>
            <w:r>
              <w:rPr>
                <w:color w:val="auto"/>
                <w:spacing w:val="-3"/>
                <w:highlight w:val="none"/>
              </w:rPr>
              <w:t>对性。评委据此酌情</w:t>
            </w:r>
            <w:r>
              <w:rPr>
                <w:color w:val="auto"/>
                <w:highlight w:val="none"/>
              </w:rPr>
              <w:t xml:space="preserve"> </w:t>
            </w:r>
            <w:r>
              <w:rPr>
                <w:color w:val="auto"/>
                <w:spacing w:val="-2"/>
                <w:highlight w:val="none"/>
              </w:rPr>
              <w:t>打分，内容全面工作流畅得4.1-5.0分，内容较全面工作较流畅得3.1-4.0 分，一般得</w:t>
            </w:r>
            <w:r>
              <w:rPr>
                <w:color w:val="auto"/>
                <w:spacing w:val="11"/>
                <w:highlight w:val="none"/>
              </w:rPr>
              <w:t xml:space="preserve"> </w:t>
            </w:r>
            <w:r>
              <w:rPr>
                <w:color w:val="auto"/>
                <w:spacing w:val="-1"/>
                <w:highlight w:val="none"/>
              </w:rPr>
              <w:t>0.1-3.0分，不提供不得分。</w:t>
            </w:r>
          </w:p>
        </w:tc>
        <w:tc>
          <w:tcPr>
            <w:tcW w:w="3904" w:type="dxa"/>
            <w:vMerge w:val="continue"/>
            <w:noWrap w:val="0"/>
            <w:tcMar>
              <w:top w:w="0" w:type="dxa"/>
              <w:left w:w="108" w:type="dxa"/>
              <w:bottom w:w="0" w:type="dxa"/>
              <w:right w:w="108" w:type="dxa"/>
            </w:tcMar>
            <w:vAlign w:val="center"/>
          </w:tcPr>
          <w:p w14:paraId="3E971C03">
            <w:pPr>
              <w:jc w:val="center"/>
              <w:rPr>
                <w:rFonts w:ascii="宋体" w:hAnsi="宋体" w:cs="宋体"/>
                <w:color w:val="auto"/>
                <w:kern w:val="0"/>
                <w:sz w:val="22"/>
                <w:szCs w:val="22"/>
                <w:highlight w:val="none"/>
              </w:rPr>
            </w:pPr>
          </w:p>
        </w:tc>
      </w:tr>
      <w:tr w14:paraId="5F76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594" w:hRule="atLeast"/>
          <w:jc w:val="center"/>
        </w:trPr>
        <w:tc>
          <w:tcPr>
            <w:tcW w:w="1131" w:type="dxa"/>
            <w:vMerge w:val="continue"/>
            <w:noWrap w:val="0"/>
            <w:vAlign w:val="center"/>
          </w:tcPr>
          <w:p w14:paraId="3ABCE6B9">
            <w:pPr>
              <w:widowControl/>
              <w:jc w:val="center"/>
              <w:rPr>
                <w:rFonts w:ascii="宋体" w:hAnsi="宋体" w:cs="宋体"/>
                <w:b/>
                <w:color w:val="auto"/>
                <w:kern w:val="0"/>
                <w:sz w:val="22"/>
                <w:szCs w:val="22"/>
                <w:highlight w:val="none"/>
              </w:rPr>
            </w:pPr>
          </w:p>
        </w:tc>
        <w:tc>
          <w:tcPr>
            <w:tcW w:w="5007" w:type="dxa"/>
            <w:noWrap w:val="0"/>
            <w:vAlign w:val="center"/>
          </w:tcPr>
          <w:p w14:paraId="0FD65438">
            <w:pPr>
              <w:widowControl/>
              <w:numPr>
                <w:ilvl w:val="0"/>
                <w:numId w:val="0"/>
              </w:numPr>
              <w:jc w:val="left"/>
              <w:rPr>
                <w:rFonts w:hint="eastAsia" w:ascii="宋体" w:hAnsi="宋体" w:cs="宋体"/>
                <w:color w:val="auto"/>
                <w:kern w:val="0"/>
                <w:sz w:val="22"/>
                <w:szCs w:val="22"/>
                <w:highlight w:val="none"/>
              </w:rPr>
            </w:pPr>
            <w:r>
              <w:rPr>
                <w:color w:val="auto"/>
                <w:spacing w:val="-2"/>
                <w:highlight w:val="none"/>
              </w:rPr>
              <w:t>（3）进度控制措施内容全面、工作流程得当、方案对本项目有针</w:t>
            </w:r>
            <w:r>
              <w:rPr>
                <w:color w:val="auto"/>
                <w:spacing w:val="-3"/>
                <w:highlight w:val="none"/>
              </w:rPr>
              <w:t>对性。评委据此酌情</w:t>
            </w:r>
            <w:r>
              <w:rPr>
                <w:color w:val="auto"/>
                <w:highlight w:val="none"/>
              </w:rPr>
              <w:t xml:space="preserve"> </w:t>
            </w:r>
            <w:r>
              <w:rPr>
                <w:color w:val="auto"/>
                <w:spacing w:val="-2"/>
                <w:highlight w:val="none"/>
              </w:rPr>
              <w:t>打分，内容全面、工作流程得当、方案对本项目有很强的针对性得4.1-5.</w:t>
            </w:r>
            <w:r>
              <w:rPr>
                <w:color w:val="auto"/>
                <w:spacing w:val="-3"/>
                <w:highlight w:val="none"/>
              </w:rPr>
              <w:t>0分，内容较</w:t>
            </w:r>
            <w:r>
              <w:rPr>
                <w:color w:val="auto"/>
                <w:highlight w:val="none"/>
              </w:rPr>
              <w:t xml:space="preserve"> 齐全完整得3.1-4.0 分，一般得0.1-</w:t>
            </w:r>
            <w:r>
              <w:rPr>
                <w:color w:val="auto"/>
                <w:spacing w:val="-1"/>
                <w:highlight w:val="none"/>
              </w:rPr>
              <w:t>3.0分，不提供不得分。</w:t>
            </w:r>
          </w:p>
        </w:tc>
        <w:tc>
          <w:tcPr>
            <w:tcW w:w="3904" w:type="dxa"/>
            <w:vMerge w:val="continue"/>
            <w:noWrap w:val="0"/>
            <w:tcMar>
              <w:top w:w="0" w:type="dxa"/>
              <w:left w:w="108" w:type="dxa"/>
              <w:bottom w:w="0" w:type="dxa"/>
              <w:right w:w="108" w:type="dxa"/>
            </w:tcMar>
            <w:vAlign w:val="center"/>
          </w:tcPr>
          <w:p w14:paraId="756E7D0A">
            <w:pPr>
              <w:jc w:val="center"/>
              <w:rPr>
                <w:rFonts w:ascii="宋体" w:hAnsi="宋体" w:cs="宋体"/>
                <w:color w:val="auto"/>
                <w:kern w:val="0"/>
                <w:sz w:val="22"/>
                <w:szCs w:val="22"/>
                <w:highlight w:val="none"/>
              </w:rPr>
            </w:pPr>
          </w:p>
        </w:tc>
      </w:tr>
      <w:tr w14:paraId="63A9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90" w:hRule="atLeast"/>
          <w:jc w:val="center"/>
        </w:trPr>
        <w:tc>
          <w:tcPr>
            <w:tcW w:w="1131" w:type="dxa"/>
            <w:vMerge w:val="continue"/>
            <w:noWrap w:val="0"/>
            <w:vAlign w:val="center"/>
          </w:tcPr>
          <w:p w14:paraId="723F057F">
            <w:pPr>
              <w:widowControl/>
              <w:jc w:val="center"/>
              <w:rPr>
                <w:rFonts w:ascii="宋体" w:hAnsi="宋体" w:cs="宋体"/>
                <w:b/>
                <w:color w:val="auto"/>
                <w:kern w:val="0"/>
                <w:sz w:val="22"/>
                <w:szCs w:val="22"/>
                <w:highlight w:val="none"/>
              </w:rPr>
            </w:pPr>
          </w:p>
        </w:tc>
        <w:tc>
          <w:tcPr>
            <w:tcW w:w="5007" w:type="dxa"/>
            <w:noWrap w:val="0"/>
            <w:vAlign w:val="center"/>
          </w:tcPr>
          <w:p w14:paraId="7EBA7A65">
            <w:pPr>
              <w:widowControl/>
              <w:numPr>
                <w:ilvl w:val="0"/>
                <w:numId w:val="0"/>
              </w:numPr>
              <w:jc w:val="left"/>
              <w:rPr>
                <w:rFonts w:hint="eastAsia" w:ascii="宋体" w:hAnsi="宋体" w:cs="宋体"/>
                <w:color w:val="auto"/>
                <w:kern w:val="0"/>
                <w:sz w:val="22"/>
                <w:szCs w:val="22"/>
                <w:highlight w:val="none"/>
              </w:rPr>
            </w:pPr>
            <w:r>
              <w:rPr>
                <w:rFonts w:hint="eastAsia" w:ascii="宋体" w:hAnsi="宋体" w:cs="宋体"/>
                <w:color w:val="auto"/>
                <w:spacing w:val="-18"/>
                <w:kern w:val="0"/>
                <w:sz w:val="24"/>
                <w:szCs w:val="24"/>
                <w:highlight w:val="none"/>
              </w:rPr>
              <w:t xml:space="preserve"> </w:t>
            </w:r>
            <w:r>
              <w:rPr>
                <w:color w:val="auto"/>
                <w:spacing w:val="-2"/>
                <w:highlight w:val="none"/>
              </w:rPr>
              <w:t>（4）投资及变更控制措施内容全面、工作流程得当、方案对本项</w:t>
            </w:r>
            <w:r>
              <w:rPr>
                <w:color w:val="auto"/>
                <w:spacing w:val="-3"/>
                <w:highlight w:val="none"/>
              </w:rPr>
              <w:t>目有针对性。评委据</w:t>
            </w:r>
            <w:r>
              <w:rPr>
                <w:color w:val="auto"/>
                <w:highlight w:val="none"/>
              </w:rPr>
              <w:t xml:space="preserve"> </w:t>
            </w:r>
            <w:r>
              <w:rPr>
                <w:color w:val="auto"/>
                <w:spacing w:val="-1"/>
                <w:highlight w:val="none"/>
              </w:rPr>
              <w:t>此酌情打分，内容全面、工作流程得当得4.1-5.0分，内容较齐全</w:t>
            </w:r>
            <w:r>
              <w:rPr>
                <w:color w:val="auto"/>
                <w:spacing w:val="-2"/>
                <w:highlight w:val="none"/>
              </w:rPr>
              <w:t>完整得3.1-4.0 分，</w:t>
            </w:r>
            <w:r>
              <w:rPr>
                <w:color w:val="auto"/>
                <w:highlight w:val="none"/>
              </w:rPr>
              <w:t xml:space="preserve"> </w:t>
            </w:r>
            <w:r>
              <w:rPr>
                <w:color w:val="auto"/>
                <w:spacing w:val="-1"/>
                <w:highlight w:val="none"/>
              </w:rPr>
              <w:t>一般得0.1-3.0分，不提供不得分。</w:t>
            </w:r>
            <w:r>
              <w:rPr>
                <w:rFonts w:hint="eastAsia" w:ascii="宋体" w:hAnsi="宋体" w:cs="宋体"/>
                <w:color w:val="auto"/>
                <w:spacing w:val="-18"/>
                <w:kern w:val="0"/>
                <w:sz w:val="24"/>
                <w:szCs w:val="24"/>
                <w:highlight w:val="none"/>
              </w:rPr>
              <w:t xml:space="preserve"> </w:t>
            </w:r>
          </w:p>
        </w:tc>
        <w:tc>
          <w:tcPr>
            <w:tcW w:w="3904" w:type="dxa"/>
            <w:vMerge w:val="continue"/>
            <w:noWrap w:val="0"/>
            <w:tcMar>
              <w:top w:w="0" w:type="dxa"/>
              <w:left w:w="108" w:type="dxa"/>
              <w:bottom w:w="0" w:type="dxa"/>
              <w:right w:w="108" w:type="dxa"/>
            </w:tcMar>
            <w:vAlign w:val="center"/>
          </w:tcPr>
          <w:p w14:paraId="79F2A266">
            <w:pPr>
              <w:jc w:val="center"/>
              <w:rPr>
                <w:rFonts w:ascii="宋体" w:hAnsi="宋体" w:cs="宋体"/>
                <w:color w:val="auto"/>
                <w:kern w:val="0"/>
                <w:sz w:val="22"/>
                <w:szCs w:val="22"/>
                <w:highlight w:val="none"/>
              </w:rPr>
            </w:pPr>
          </w:p>
        </w:tc>
      </w:tr>
      <w:tr w14:paraId="40E4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327" w:hRule="atLeast"/>
          <w:jc w:val="center"/>
        </w:trPr>
        <w:tc>
          <w:tcPr>
            <w:tcW w:w="1131" w:type="dxa"/>
            <w:vMerge w:val="continue"/>
            <w:noWrap w:val="0"/>
            <w:vAlign w:val="center"/>
          </w:tcPr>
          <w:p w14:paraId="68640373">
            <w:pPr>
              <w:widowControl/>
              <w:jc w:val="center"/>
              <w:rPr>
                <w:rFonts w:ascii="宋体" w:hAnsi="宋体" w:cs="宋体"/>
                <w:b/>
                <w:color w:val="auto"/>
                <w:kern w:val="0"/>
                <w:sz w:val="22"/>
                <w:szCs w:val="22"/>
                <w:highlight w:val="none"/>
              </w:rPr>
            </w:pPr>
          </w:p>
        </w:tc>
        <w:tc>
          <w:tcPr>
            <w:tcW w:w="5007" w:type="dxa"/>
            <w:noWrap w:val="0"/>
            <w:vAlign w:val="center"/>
          </w:tcPr>
          <w:p w14:paraId="188CCFA8">
            <w:pPr>
              <w:widowControl/>
              <w:numPr>
                <w:ilvl w:val="0"/>
                <w:numId w:val="0"/>
              </w:numPr>
              <w:jc w:val="left"/>
              <w:rPr>
                <w:rFonts w:hint="eastAsia" w:ascii="宋体" w:hAnsi="宋体" w:cs="宋体"/>
                <w:color w:val="auto"/>
                <w:kern w:val="0"/>
                <w:sz w:val="22"/>
                <w:szCs w:val="22"/>
                <w:highlight w:val="none"/>
              </w:rPr>
            </w:pPr>
            <w:r>
              <w:rPr>
                <w:rFonts w:hint="eastAsia" w:ascii="宋体" w:hAnsi="宋体" w:cs="宋体"/>
                <w:color w:val="auto"/>
                <w:spacing w:val="-18"/>
                <w:kern w:val="0"/>
                <w:sz w:val="24"/>
                <w:szCs w:val="24"/>
                <w:highlight w:val="none"/>
              </w:rPr>
              <w:t xml:space="preserve"> </w:t>
            </w:r>
            <w:r>
              <w:rPr>
                <w:color w:val="auto"/>
                <w:spacing w:val="-2"/>
                <w:highlight w:val="none"/>
              </w:rPr>
              <w:t>（</w:t>
            </w:r>
            <w:r>
              <w:rPr>
                <w:rFonts w:hint="eastAsia"/>
                <w:color w:val="auto"/>
                <w:spacing w:val="-2"/>
                <w:highlight w:val="none"/>
                <w:lang w:val="en-US" w:eastAsia="zh-CN"/>
              </w:rPr>
              <w:t>5</w:t>
            </w:r>
            <w:r>
              <w:rPr>
                <w:color w:val="auto"/>
                <w:spacing w:val="-2"/>
                <w:highlight w:val="none"/>
              </w:rPr>
              <w:t>）合同与信息管理内容全面、工作流程得当。评委据此酌</w:t>
            </w:r>
            <w:r>
              <w:rPr>
                <w:color w:val="auto"/>
                <w:spacing w:val="-3"/>
                <w:highlight w:val="none"/>
              </w:rPr>
              <w:t>情打分，内容全面、工作</w:t>
            </w:r>
            <w:r>
              <w:rPr>
                <w:color w:val="auto"/>
                <w:highlight w:val="none"/>
              </w:rPr>
              <w:t xml:space="preserve"> 流程得当得4.1-5.0分，内容较齐全完整得3.1-4.0 分，一般得0.</w:t>
            </w:r>
            <w:r>
              <w:rPr>
                <w:color w:val="auto"/>
                <w:spacing w:val="-1"/>
                <w:highlight w:val="none"/>
              </w:rPr>
              <w:t>1-3.0分，不提供不</w:t>
            </w:r>
            <w:r>
              <w:rPr>
                <w:color w:val="auto"/>
                <w:highlight w:val="none"/>
              </w:rPr>
              <w:t xml:space="preserve"> </w:t>
            </w:r>
            <w:r>
              <w:rPr>
                <w:color w:val="auto"/>
                <w:spacing w:val="-4"/>
                <w:highlight w:val="none"/>
              </w:rPr>
              <w:t>得分。</w:t>
            </w:r>
          </w:p>
        </w:tc>
        <w:tc>
          <w:tcPr>
            <w:tcW w:w="3904" w:type="dxa"/>
            <w:vMerge w:val="continue"/>
            <w:noWrap w:val="0"/>
            <w:tcMar>
              <w:top w:w="0" w:type="dxa"/>
              <w:left w:w="108" w:type="dxa"/>
              <w:bottom w:w="0" w:type="dxa"/>
              <w:right w:w="108" w:type="dxa"/>
            </w:tcMar>
            <w:vAlign w:val="center"/>
          </w:tcPr>
          <w:p w14:paraId="432FD501">
            <w:pPr>
              <w:widowControl/>
              <w:jc w:val="center"/>
              <w:rPr>
                <w:rFonts w:ascii="宋体" w:hAnsi="宋体" w:cs="宋体"/>
                <w:color w:val="auto"/>
                <w:kern w:val="0"/>
                <w:sz w:val="22"/>
                <w:szCs w:val="22"/>
                <w:highlight w:val="none"/>
              </w:rPr>
            </w:pPr>
          </w:p>
        </w:tc>
      </w:tr>
      <w:tr w14:paraId="398F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73" w:hRule="atLeast"/>
          <w:jc w:val="center"/>
        </w:trPr>
        <w:tc>
          <w:tcPr>
            <w:tcW w:w="1131" w:type="dxa"/>
            <w:vMerge w:val="continue"/>
            <w:noWrap w:val="0"/>
            <w:vAlign w:val="center"/>
          </w:tcPr>
          <w:p w14:paraId="5C841FBE">
            <w:pPr>
              <w:widowControl/>
              <w:jc w:val="center"/>
              <w:rPr>
                <w:rFonts w:ascii="宋体" w:hAnsi="宋体" w:cs="宋体"/>
                <w:b/>
                <w:color w:val="auto"/>
                <w:kern w:val="0"/>
                <w:sz w:val="22"/>
                <w:szCs w:val="22"/>
                <w:highlight w:val="none"/>
              </w:rPr>
            </w:pPr>
          </w:p>
        </w:tc>
        <w:tc>
          <w:tcPr>
            <w:tcW w:w="5007" w:type="dxa"/>
            <w:noWrap w:val="0"/>
            <w:vAlign w:val="center"/>
          </w:tcPr>
          <w:p w14:paraId="2519573E">
            <w:pPr>
              <w:widowControl/>
              <w:jc w:val="left"/>
              <w:rPr>
                <w:rFonts w:ascii="宋体" w:hAnsi="宋体" w:cs="宋体"/>
                <w:color w:val="auto"/>
                <w:kern w:val="0"/>
                <w:sz w:val="22"/>
                <w:szCs w:val="22"/>
                <w:highlight w:val="none"/>
              </w:rPr>
            </w:pPr>
            <w:r>
              <w:rPr>
                <w:rFonts w:hint="eastAsia"/>
                <w:color w:val="auto"/>
                <w:spacing w:val="-2"/>
                <w:highlight w:val="none"/>
                <w:lang w:eastAsia="zh-CN"/>
              </w:rPr>
              <w:t>（</w:t>
            </w:r>
            <w:r>
              <w:rPr>
                <w:rFonts w:hint="eastAsia"/>
                <w:color w:val="auto"/>
                <w:spacing w:val="-2"/>
                <w:highlight w:val="none"/>
                <w:lang w:val="en-US" w:eastAsia="zh-CN"/>
              </w:rPr>
              <w:t>6</w:t>
            </w:r>
            <w:r>
              <w:rPr>
                <w:rFonts w:hint="eastAsia"/>
                <w:color w:val="auto"/>
                <w:spacing w:val="-2"/>
                <w:highlight w:val="none"/>
                <w:lang w:eastAsia="zh-CN"/>
              </w:rPr>
              <w:t>）</w:t>
            </w:r>
            <w:r>
              <w:rPr>
                <w:color w:val="auto"/>
                <w:spacing w:val="-2"/>
                <w:highlight w:val="none"/>
              </w:rPr>
              <w:t>安全控制措施内容全面、工作流程得当、方案对本项目有针</w:t>
            </w:r>
            <w:r>
              <w:rPr>
                <w:color w:val="auto"/>
                <w:spacing w:val="-3"/>
                <w:highlight w:val="none"/>
              </w:rPr>
              <w:t>对性。评委据此酌情</w:t>
            </w:r>
            <w:r>
              <w:rPr>
                <w:color w:val="auto"/>
                <w:highlight w:val="none"/>
              </w:rPr>
              <w:t xml:space="preserve"> </w:t>
            </w:r>
            <w:r>
              <w:rPr>
                <w:color w:val="auto"/>
                <w:spacing w:val="-2"/>
                <w:highlight w:val="none"/>
              </w:rPr>
              <w:t>打分，内容全面、工作流程得4.1-5.0分，内容较全面工作较流畅得3.1-4.0 分，一般</w:t>
            </w:r>
            <w:r>
              <w:rPr>
                <w:color w:val="auto"/>
                <w:spacing w:val="5"/>
                <w:highlight w:val="none"/>
              </w:rPr>
              <w:t xml:space="preserve"> </w:t>
            </w:r>
            <w:r>
              <w:rPr>
                <w:color w:val="auto"/>
                <w:spacing w:val="-2"/>
                <w:highlight w:val="none"/>
              </w:rPr>
              <w:t>得0.1-3.0分，不提供不得分。</w:t>
            </w:r>
          </w:p>
        </w:tc>
        <w:tc>
          <w:tcPr>
            <w:tcW w:w="3904" w:type="dxa"/>
            <w:vMerge w:val="continue"/>
            <w:noWrap w:val="0"/>
            <w:tcMar>
              <w:top w:w="0" w:type="dxa"/>
              <w:left w:w="108" w:type="dxa"/>
              <w:bottom w:w="0" w:type="dxa"/>
              <w:right w:w="108" w:type="dxa"/>
            </w:tcMar>
            <w:vAlign w:val="center"/>
          </w:tcPr>
          <w:p w14:paraId="2AB157E4">
            <w:pPr>
              <w:widowControl/>
              <w:rPr>
                <w:rFonts w:ascii="宋体" w:hAnsi="宋体" w:cs="宋体"/>
                <w:color w:val="auto"/>
                <w:kern w:val="0"/>
                <w:sz w:val="22"/>
                <w:szCs w:val="22"/>
                <w:highlight w:val="none"/>
              </w:rPr>
            </w:pPr>
          </w:p>
        </w:tc>
      </w:tr>
      <w:tr w14:paraId="7779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73" w:hRule="atLeast"/>
          <w:jc w:val="center"/>
        </w:trPr>
        <w:tc>
          <w:tcPr>
            <w:tcW w:w="1131" w:type="dxa"/>
            <w:vMerge w:val="continue"/>
            <w:noWrap w:val="0"/>
            <w:vAlign w:val="center"/>
          </w:tcPr>
          <w:p w14:paraId="60EEFE12">
            <w:pPr>
              <w:widowControl/>
              <w:jc w:val="center"/>
              <w:rPr>
                <w:rFonts w:ascii="宋体" w:hAnsi="宋体" w:cs="宋体"/>
                <w:b/>
                <w:color w:val="auto"/>
                <w:kern w:val="0"/>
                <w:sz w:val="22"/>
                <w:szCs w:val="22"/>
                <w:highlight w:val="none"/>
              </w:rPr>
            </w:pPr>
          </w:p>
        </w:tc>
        <w:tc>
          <w:tcPr>
            <w:tcW w:w="5007" w:type="dxa"/>
            <w:noWrap w:val="0"/>
            <w:vAlign w:val="center"/>
          </w:tcPr>
          <w:p w14:paraId="2DB67F3E">
            <w:pPr>
              <w:widowControl/>
              <w:jc w:val="left"/>
              <w:rPr>
                <w:rFonts w:ascii="宋体" w:hAnsi="宋体" w:cs="宋体"/>
                <w:color w:val="auto"/>
                <w:kern w:val="0"/>
                <w:sz w:val="22"/>
                <w:szCs w:val="22"/>
                <w:highlight w:val="none"/>
              </w:rPr>
            </w:pPr>
            <w:r>
              <w:rPr>
                <w:color w:val="auto"/>
                <w:spacing w:val="-2"/>
                <w:highlight w:val="none"/>
              </w:rPr>
              <w:t>（7）提出的本项目技术重点难点齐全、对本项目技术重点难</w:t>
            </w:r>
            <w:r>
              <w:rPr>
                <w:color w:val="auto"/>
                <w:spacing w:val="-3"/>
                <w:highlight w:val="none"/>
              </w:rPr>
              <w:t>点分析妥当、监理措施对</w:t>
            </w:r>
            <w:r>
              <w:rPr>
                <w:color w:val="auto"/>
                <w:highlight w:val="none"/>
              </w:rPr>
              <w:t xml:space="preserve"> 本项目有针对性、监理措施可行。评委据此酌情打分，重点难点</w:t>
            </w:r>
            <w:r>
              <w:rPr>
                <w:color w:val="auto"/>
                <w:spacing w:val="-1"/>
                <w:highlight w:val="none"/>
              </w:rPr>
              <w:t>齐全、技术重点难点</w:t>
            </w:r>
            <w:r>
              <w:rPr>
                <w:color w:val="auto"/>
                <w:highlight w:val="none"/>
              </w:rPr>
              <w:t xml:space="preserve"> </w:t>
            </w:r>
            <w:r>
              <w:rPr>
                <w:color w:val="auto"/>
                <w:spacing w:val="-2"/>
                <w:highlight w:val="none"/>
              </w:rPr>
              <w:t>分析妥当、监理措施对本项目有针对性、监理措施可行得4.1-5.0分，内</w:t>
            </w:r>
            <w:r>
              <w:rPr>
                <w:color w:val="auto"/>
                <w:spacing w:val="-3"/>
                <w:highlight w:val="none"/>
              </w:rPr>
              <w:t>容较全面工作</w:t>
            </w:r>
            <w:r>
              <w:rPr>
                <w:color w:val="auto"/>
                <w:highlight w:val="none"/>
              </w:rPr>
              <w:t xml:space="preserve"> </w:t>
            </w:r>
            <w:r>
              <w:rPr>
                <w:color w:val="auto"/>
                <w:spacing w:val="-1"/>
                <w:highlight w:val="none"/>
              </w:rPr>
              <w:t>较流畅得3.1-4.0 分，一般得0.1-3.0，不提供不得分。</w:t>
            </w:r>
            <w:r>
              <w:rPr>
                <w:rFonts w:hint="eastAsia" w:ascii="宋体" w:hAnsi="宋体" w:cs="宋体"/>
                <w:color w:val="auto"/>
                <w:spacing w:val="-18"/>
                <w:kern w:val="0"/>
                <w:sz w:val="24"/>
                <w:szCs w:val="24"/>
                <w:highlight w:val="none"/>
              </w:rPr>
              <w:t xml:space="preserve">  </w:t>
            </w:r>
          </w:p>
        </w:tc>
        <w:tc>
          <w:tcPr>
            <w:tcW w:w="3904" w:type="dxa"/>
            <w:vMerge w:val="continue"/>
            <w:noWrap w:val="0"/>
            <w:tcMar>
              <w:top w:w="0" w:type="dxa"/>
              <w:left w:w="108" w:type="dxa"/>
              <w:bottom w:w="0" w:type="dxa"/>
              <w:right w:w="108" w:type="dxa"/>
            </w:tcMar>
            <w:vAlign w:val="center"/>
          </w:tcPr>
          <w:p w14:paraId="1CC7590C">
            <w:pPr>
              <w:widowControl/>
              <w:rPr>
                <w:rFonts w:ascii="宋体" w:hAnsi="宋体" w:cs="宋体"/>
                <w:color w:val="auto"/>
                <w:kern w:val="0"/>
                <w:sz w:val="22"/>
                <w:szCs w:val="22"/>
                <w:highlight w:val="none"/>
              </w:rPr>
            </w:pPr>
          </w:p>
        </w:tc>
      </w:tr>
      <w:tr w14:paraId="0FB0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615" w:hRule="atLeast"/>
          <w:jc w:val="center"/>
        </w:trPr>
        <w:tc>
          <w:tcPr>
            <w:tcW w:w="1131" w:type="dxa"/>
            <w:vMerge w:val="restart"/>
            <w:noWrap w:val="0"/>
            <w:vAlign w:val="center"/>
          </w:tcPr>
          <w:p w14:paraId="21FC3324">
            <w:pPr>
              <w:widowControl/>
              <w:adjustRightInd w:val="0"/>
              <w:snapToGrid w:val="0"/>
              <w:spacing w:line="3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投标人企业实力</w:t>
            </w:r>
          </w:p>
          <w:p w14:paraId="402A7464">
            <w:pPr>
              <w:widowControl/>
              <w:adjustRightInd w:val="0"/>
              <w:snapToGrid w:val="0"/>
              <w:spacing w:line="3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（满分</w:t>
            </w:r>
            <w:r>
              <w:rPr>
                <w:rFonts w:hint="eastAsia" w:ascii="宋体" w:hAnsi="宋体" w:cs="宋体"/>
                <w:b/>
                <w:color w:val="auto"/>
                <w:kern w:val="0"/>
                <w:sz w:val="22"/>
                <w:szCs w:val="22"/>
                <w:highlight w:val="none"/>
                <w:lang w:val="en-US" w:eastAsia="zh-CN"/>
              </w:rPr>
              <w:t>20</w:t>
            </w:r>
            <w:r>
              <w:rPr>
                <w:rFonts w:hint="eastAsia" w:ascii="宋体" w:hAnsi="宋体" w:cs="宋体"/>
                <w:b/>
                <w:color w:val="auto"/>
                <w:kern w:val="0"/>
                <w:sz w:val="22"/>
                <w:szCs w:val="22"/>
                <w:highlight w:val="none"/>
              </w:rPr>
              <w:t>分）</w:t>
            </w:r>
          </w:p>
        </w:tc>
        <w:tc>
          <w:tcPr>
            <w:tcW w:w="5007" w:type="dxa"/>
            <w:tcBorders>
              <w:bottom w:val="single" w:color="auto" w:sz="4" w:space="0"/>
              <w:right w:val="single" w:color="auto" w:sz="4" w:space="0"/>
            </w:tcBorders>
            <w:noWrap w:val="0"/>
            <w:vAlign w:val="center"/>
          </w:tcPr>
          <w:p w14:paraId="71757DC7">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投标人企业具有近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年内监理过单项</w:t>
            </w:r>
            <w:r>
              <w:rPr>
                <w:rFonts w:hint="eastAsia" w:ascii="宋体" w:hAnsi="宋体" w:eastAsia="宋体" w:cs="宋体"/>
                <w:color w:val="auto"/>
                <w:sz w:val="22"/>
                <w:szCs w:val="22"/>
                <w:highlight w:val="none"/>
                <w:lang w:val="en-US" w:eastAsia="zh-CN"/>
              </w:rPr>
              <w:t>施工</w:t>
            </w:r>
            <w:r>
              <w:rPr>
                <w:rFonts w:hint="eastAsia" w:ascii="宋体" w:hAnsi="宋体" w:eastAsia="宋体" w:cs="宋体"/>
                <w:color w:val="auto"/>
                <w:sz w:val="22"/>
                <w:szCs w:val="22"/>
                <w:highlight w:val="none"/>
              </w:rPr>
              <w:t>合同金额≥</w:t>
            </w:r>
            <w:r>
              <w:rPr>
                <w:rFonts w:hint="eastAsia" w:ascii="宋体" w:hAnsi="宋体" w:cs="宋体"/>
                <w:color w:val="auto"/>
                <w:sz w:val="22"/>
                <w:szCs w:val="22"/>
                <w:highlight w:val="none"/>
                <w:lang w:val="en-US" w:eastAsia="zh-CN"/>
              </w:rPr>
              <w:t>180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lang w:val="en-US" w:eastAsia="zh-CN"/>
              </w:rPr>
              <w:t>或</w:t>
            </w:r>
            <w:r>
              <w:rPr>
                <w:rFonts w:hint="eastAsia" w:ascii="宋体" w:hAnsi="宋体" w:cs="宋体"/>
                <w:color w:val="auto"/>
                <w:sz w:val="22"/>
                <w:szCs w:val="22"/>
                <w:highlight w:val="none"/>
              </w:rPr>
              <w:t>监理服务费≥</w:t>
            </w:r>
            <w:r>
              <w:rPr>
                <w:rFonts w:hint="eastAsia" w:ascii="宋体" w:hAnsi="宋体" w:cs="宋体"/>
                <w:color w:val="auto"/>
                <w:sz w:val="22"/>
                <w:szCs w:val="22"/>
                <w:highlight w:val="none"/>
                <w:lang w:val="en-US" w:eastAsia="zh-CN"/>
              </w:rPr>
              <w:t>18</w:t>
            </w:r>
            <w:r>
              <w:rPr>
                <w:rFonts w:hint="eastAsia" w:ascii="宋体" w:hAnsi="宋体" w:cs="宋体"/>
                <w:color w:val="auto"/>
                <w:sz w:val="22"/>
                <w:szCs w:val="22"/>
                <w:highlight w:val="none"/>
              </w:rPr>
              <w:t>万元</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rPr>
              <w:t>尾矿库建设</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尾矿库闭库项目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或矿山类工程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监理业绩的，每提供一份有效的监理业绩证明材料的得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分，本项满分</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66730ECD">
            <w:pPr>
              <w:pStyle w:val="22"/>
              <w:ind w:left="0" w:leftChars="0" w:firstLine="0" w:firstLineChars="0"/>
              <w:rPr>
                <w:rFonts w:hint="eastAsia"/>
                <w:color w:val="auto"/>
                <w:highlight w:val="none"/>
              </w:rPr>
            </w:pPr>
          </w:p>
          <w:p w14:paraId="696CD65F">
            <w:pPr>
              <w:widowControl/>
              <w:adjustRightInd w:val="0"/>
              <w:snapToGrid w:val="0"/>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904" w:type="dxa"/>
            <w:tcBorders>
              <w:left w:val="single" w:color="auto" w:sz="4" w:space="0"/>
              <w:bottom w:val="single" w:color="auto" w:sz="4" w:space="0"/>
            </w:tcBorders>
            <w:noWrap w:val="0"/>
            <w:vAlign w:val="center"/>
          </w:tcPr>
          <w:p w14:paraId="036BCDEC">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年”是指：自202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月1日以来（时间以监理合同中发包人单位签署的时间为准，余同）。</w:t>
            </w:r>
          </w:p>
          <w:p w14:paraId="1034A44E">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②“监理业绩证明材料”是指：监理合同（须能清楚看到合同双方单位印章、签订日期、建设规模等评审内容，</w:t>
            </w:r>
          </w:p>
          <w:p w14:paraId="63C261A0">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否则为无效业绩），</w:t>
            </w:r>
            <w:r>
              <w:rPr>
                <w:rFonts w:hint="eastAsia" w:ascii="宋体" w:hAnsi="宋体" w:eastAsia="宋体" w:cs="宋体"/>
                <w:color w:val="auto"/>
                <w:sz w:val="22"/>
                <w:szCs w:val="22"/>
                <w:highlight w:val="none"/>
                <w:lang w:eastAsia="zh-CN"/>
              </w:rPr>
              <w:t>提供复印件加盖公章装订在投标文件中</w:t>
            </w:r>
            <w:r>
              <w:rPr>
                <w:rFonts w:hint="eastAsia" w:ascii="宋体" w:hAnsi="宋体" w:eastAsia="宋体" w:cs="宋体"/>
                <w:color w:val="auto"/>
                <w:sz w:val="22"/>
                <w:szCs w:val="22"/>
                <w:highlight w:val="none"/>
              </w:rPr>
              <w:t>，否则不予计分。</w:t>
            </w:r>
          </w:p>
          <w:p w14:paraId="188F1FF2">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③业绩规模中</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单项施工合同金额以监理合同中注明的“工程概算投资额或建筑安装工程费”金额为准；若监理业绩合同中无法体现或指标不满足本评分条件的，则该项业绩不予计分。</w:t>
            </w:r>
          </w:p>
          <w:p w14:paraId="3B25A962">
            <w:pPr>
              <w:widowControl/>
              <w:adjustRightInd w:val="0"/>
              <w:snapToGrid w:val="0"/>
              <w:spacing w:line="30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④企业工程监理业绩仅限以投标单位名称的法人（不含总公司或下属公司）所取得的业绩，否则不予计分。</w:t>
            </w:r>
          </w:p>
        </w:tc>
      </w:tr>
      <w:tr w14:paraId="6FD2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634" w:hRule="atLeast"/>
          <w:jc w:val="center"/>
        </w:trPr>
        <w:tc>
          <w:tcPr>
            <w:tcW w:w="1131" w:type="dxa"/>
            <w:vMerge w:val="continue"/>
            <w:noWrap w:val="0"/>
            <w:vAlign w:val="center"/>
          </w:tcPr>
          <w:p w14:paraId="75F343AB">
            <w:pPr>
              <w:widowControl/>
              <w:adjustRightInd w:val="0"/>
              <w:snapToGrid w:val="0"/>
              <w:spacing w:line="300" w:lineRule="exact"/>
              <w:jc w:val="center"/>
              <w:rPr>
                <w:rFonts w:hint="eastAsia" w:ascii="宋体" w:hAnsi="宋体" w:cs="宋体"/>
                <w:b/>
                <w:color w:val="auto"/>
                <w:kern w:val="0"/>
                <w:sz w:val="22"/>
                <w:szCs w:val="22"/>
                <w:highlight w:val="none"/>
              </w:rPr>
            </w:pPr>
          </w:p>
        </w:tc>
        <w:tc>
          <w:tcPr>
            <w:tcW w:w="5007" w:type="dxa"/>
            <w:tcBorders>
              <w:top w:val="single" w:color="auto" w:sz="4" w:space="0"/>
              <w:right w:val="single" w:color="auto" w:sz="4" w:space="0"/>
            </w:tcBorders>
            <w:noWrap w:val="0"/>
            <w:vAlign w:val="center"/>
          </w:tcPr>
          <w:p w14:paraId="72391EB8">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（2）投标人企业近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年内获得过市级及以上优秀（或先进）监理企业或者优秀（或先进）咨询监理企业称号的每个得 </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分，本项满分</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34D751AA">
            <w:pPr>
              <w:widowControl/>
              <w:adjustRightInd w:val="0"/>
              <w:snapToGrid w:val="0"/>
              <w:spacing w:line="300" w:lineRule="exact"/>
              <w:rPr>
                <w:rFonts w:hint="eastAsia" w:ascii="宋体" w:hAnsi="宋体" w:eastAsia="宋体" w:cs="宋体"/>
                <w:color w:val="auto"/>
                <w:sz w:val="22"/>
                <w:szCs w:val="22"/>
                <w:highlight w:val="none"/>
                <w:lang w:eastAsia="zh-CN"/>
              </w:rPr>
            </w:pPr>
          </w:p>
        </w:tc>
        <w:tc>
          <w:tcPr>
            <w:tcW w:w="3904" w:type="dxa"/>
            <w:tcBorders>
              <w:top w:val="single" w:color="auto" w:sz="4" w:space="0"/>
              <w:left w:val="single" w:color="auto" w:sz="4" w:space="0"/>
            </w:tcBorders>
            <w:noWrap w:val="0"/>
            <w:vAlign w:val="center"/>
          </w:tcPr>
          <w:p w14:paraId="543674B9">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 ”是指： 自20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月1日以来，时间以荣誉证书（或红头文件）中注明的落款日期为准。</w:t>
            </w:r>
          </w:p>
          <w:p w14:paraId="2BE20DA0">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2、“获奖证明材料 ”是指：以行政主管部门（或建设管理部门或行业协会）颁发的获奖证书（或红头文件）为准，若当年度荣誉已评选公示，但暂未发文发证的，可提供颁奖单位官方网站发布的公示名单截图。</w:t>
            </w:r>
          </w:p>
          <w:p w14:paraId="479BE47D">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3、企业荣誉称号仅限以投标单位名称（不含总公司或下属公司）所获得的荣誉称号。</w:t>
            </w:r>
          </w:p>
          <w:p w14:paraId="5C99644B">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4、获奖证书（或文件）不足以明确显示获奖单位名称时，须同时提供发证（文）单位证明文件作为附件。</w:t>
            </w:r>
          </w:p>
          <w:p w14:paraId="4244E285">
            <w:pPr>
              <w:widowControl/>
              <w:adjustRightInd w:val="0"/>
              <w:snapToGrid w:val="0"/>
              <w:spacing w:line="30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5、获奖证明材料</w:t>
            </w:r>
            <w:r>
              <w:rPr>
                <w:rFonts w:hint="eastAsia" w:ascii="宋体" w:hAnsi="宋体" w:eastAsia="宋体" w:cs="宋体"/>
                <w:color w:val="auto"/>
                <w:sz w:val="22"/>
                <w:szCs w:val="22"/>
                <w:highlight w:val="none"/>
                <w:lang w:eastAsia="zh-CN"/>
              </w:rPr>
              <w:t>复印件加盖公章装订在投标文件中</w:t>
            </w:r>
            <w:r>
              <w:rPr>
                <w:rFonts w:hint="eastAsia" w:ascii="宋体" w:hAnsi="宋体" w:eastAsia="宋体" w:cs="宋体"/>
                <w:color w:val="auto"/>
                <w:sz w:val="22"/>
                <w:szCs w:val="22"/>
                <w:highlight w:val="none"/>
              </w:rPr>
              <w:t>。</w:t>
            </w:r>
          </w:p>
        </w:tc>
      </w:tr>
      <w:tr w14:paraId="68644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2268" w:hRule="atLeast"/>
          <w:jc w:val="center"/>
        </w:trPr>
        <w:tc>
          <w:tcPr>
            <w:tcW w:w="1131" w:type="dxa"/>
            <w:vMerge w:val="restart"/>
            <w:noWrap w:val="0"/>
            <w:vAlign w:val="center"/>
          </w:tcPr>
          <w:p w14:paraId="07A0698A">
            <w:pPr>
              <w:widowControl/>
              <w:jc w:val="center"/>
              <w:rPr>
                <w:rFonts w:hint="eastAsia" w:ascii="宋体" w:hAnsi="宋体" w:cs="宋体"/>
                <w:b/>
                <w:color w:val="auto"/>
                <w:kern w:val="0"/>
                <w:sz w:val="22"/>
                <w:szCs w:val="22"/>
                <w:highlight w:val="none"/>
              </w:rPr>
            </w:pPr>
            <w:r>
              <w:rPr>
                <w:rFonts w:hint="eastAsia" w:ascii="宋体" w:hAnsi="宋体" w:cs="宋体"/>
                <w:color w:val="auto"/>
                <w:spacing w:val="-1"/>
                <w:kern w:val="0"/>
                <w:sz w:val="24"/>
                <w:szCs w:val="24"/>
                <w:highlight w:val="none"/>
                <w:lang w:val="zh-CN"/>
              </w:rPr>
              <w:t>总监</w:t>
            </w:r>
            <w:r>
              <w:rPr>
                <w:rFonts w:hint="eastAsia" w:ascii="宋体" w:hAnsi="宋体" w:cs="宋体"/>
                <w:color w:val="auto"/>
                <w:kern w:val="0"/>
                <w:sz w:val="24"/>
                <w:szCs w:val="24"/>
                <w:highlight w:val="none"/>
                <w:lang w:val="zh-CN"/>
              </w:rPr>
              <w:t>实力（</w:t>
            </w:r>
            <w:r>
              <w:rPr>
                <w:rFonts w:hint="eastAsia" w:ascii="宋体" w:hAnsi="宋体" w:cs="宋体"/>
                <w:color w:val="auto"/>
                <w:kern w:val="0"/>
                <w:sz w:val="24"/>
                <w:szCs w:val="24"/>
                <w:highlight w:val="none"/>
                <w:lang w:val="en-US" w:eastAsia="zh-CN"/>
              </w:rPr>
              <w:t>满分</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zh-CN"/>
              </w:rPr>
              <w:t>）</w:t>
            </w:r>
          </w:p>
        </w:tc>
        <w:tc>
          <w:tcPr>
            <w:tcW w:w="5007" w:type="dxa"/>
            <w:tcBorders>
              <w:bottom w:val="single" w:color="auto" w:sz="4" w:space="0"/>
              <w:right w:val="single" w:color="auto" w:sz="4" w:space="0"/>
            </w:tcBorders>
            <w:noWrap w:val="0"/>
            <w:vAlign w:val="center"/>
          </w:tcPr>
          <w:p w14:paraId="7137D224">
            <w:pPr>
              <w:pStyle w:val="22"/>
              <w:ind w:firstLine="0" w:firstLineChars="0"/>
              <w:rPr>
                <w:color w:val="auto"/>
                <w:highlight w:val="none"/>
              </w:rPr>
            </w:pPr>
            <w:r>
              <w:rPr>
                <w:rFonts w:hint="eastAsia" w:ascii="宋体" w:hAnsi="宋体" w:cs="宋体"/>
                <w:color w:val="auto"/>
                <w:spacing w:val="4"/>
                <w:sz w:val="24"/>
                <w:szCs w:val="24"/>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拟派总监理工程师在近</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年监理过的单项工程施工</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rPr>
              <w:t>金额≥</w:t>
            </w:r>
            <w:r>
              <w:rPr>
                <w:rFonts w:hint="eastAsia" w:ascii="宋体" w:hAnsi="宋体" w:cs="宋体"/>
                <w:color w:val="auto"/>
                <w:sz w:val="22"/>
                <w:szCs w:val="22"/>
                <w:highlight w:val="none"/>
                <w:lang w:val="en-US" w:eastAsia="zh-CN"/>
              </w:rPr>
              <w:t>180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lang w:val="en-US" w:eastAsia="zh-CN"/>
              </w:rPr>
              <w:t>或</w:t>
            </w:r>
            <w:r>
              <w:rPr>
                <w:rFonts w:hint="eastAsia" w:ascii="宋体" w:hAnsi="宋体" w:cs="宋体"/>
                <w:color w:val="auto"/>
                <w:sz w:val="22"/>
                <w:szCs w:val="22"/>
                <w:highlight w:val="none"/>
              </w:rPr>
              <w:t>监理服务费≥</w:t>
            </w:r>
            <w:r>
              <w:rPr>
                <w:rFonts w:hint="eastAsia" w:ascii="宋体" w:hAnsi="宋体" w:cs="宋体"/>
                <w:color w:val="auto"/>
                <w:sz w:val="22"/>
                <w:szCs w:val="22"/>
                <w:highlight w:val="none"/>
                <w:lang w:val="en-US" w:eastAsia="zh-CN"/>
              </w:rPr>
              <w:t>18</w:t>
            </w:r>
            <w:r>
              <w:rPr>
                <w:rFonts w:hint="eastAsia" w:ascii="宋体" w:hAnsi="宋体" w:cs="宋体"/>
                <w:color w:val="auto"/>
                <w:sz w:val="22"/>
                <w:szCs w:val="22"/>
                <w:highlight w:val="none"/>
              </w:rPr>
              <w:t>万元</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rPr>
              <w:t>尾矿库建设</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尾矿库闭库项目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或矿山类工程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监理业绩中担任总监理工程师岗位的得5分，本项满分</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3904" w:type="dxa"/>
            <w:tcBorders>
              <w:left w:val="single" w:color="auto" w:sz="4" w:space="0"/>
              <w:bottom w:val="single" w:color="auto" w:sz="4" w:space="0"/>
            </w:tcBorders>
            <w:noWrap w:val="0"/>
            <w:vAlign w:val="center"/>
          </w:tcPr>
          <w:p w14:paraId="45B03DE6">
            <w:pPr>
              <w:widowControl/>
              <w:adjustRightInd w:val="0"/>
              <w:snapToGrid w:val="0"/>
              <w:spacing w:line="30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①“近5年”是指：自2021年2月1日以来（时间以监理合同中发包人单位签署的时间为准，余同）。</w:t>
            </w:r>
          </w:p>
          <w:p w14:paraId="0FECACFB">
            <w:pPr>
              <w:widowControl/>
              <w:adjustRightInd w:val="0"/>
              <w:snapToGrid w:val="0"/>
              <w:spacing w:line="30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②“监理业绩证明材料”是指：监理合同（须能清楚看到合同双方单位印章、签订日期、建设规模等评审内容，否则为无效业绩），复印件加盖公章装订在投标文件中，否则不予计分。</w:t>
            </w:r>
          </w:p>
          <w:p w14:paraId="2A530AEA">
            <w:pPr>
              <w:widowControl/>
              <w:adjustRightInd w:val="0"/>
              <w:snapToGrid w:val="0"/>
              <w:spacing w:line="30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③业绩规模中的单项施工合同金额以监理合同中注明的“工程概算投资额或建筑安装工程费”金额为准；若监理业绩合同中无法体现或指标不满足本评分条件的，则该项业绩不予计分。 </w:t>
            </w:r>
          </w:p>
          <w:p w14:paraId="33E44100">
            <w:pPr>
              <w:pStyle w:val="22"/>
              <w:ind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④监理合同中必须能体现业绩项目的总监理工程师姓名，且均必须与投标人参加本项目投标时的拟派总监理工程师一致，以监理合同中注明的总监理工程师为准，否则不予计分。</w:t>
            </w:r>
          </w:p>
          <w:p w14:paraId="556A0624">
            <w:pPr>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fldChar w:fldCharType="begin"/>
            </w:r>
            <w:r>
              <w:rPr>
                <w:rFonts w:hint="default" w:ascii="宋体" w:hAnsi="宋体" w:eastAsia="宋体" w:cs="宋体"/>
                <w:color w:val="auto"/>
                <w:kern w:val="2"/>
                <w:sz w:val="22"/>
                <w:szCs w:val="22"/>
                <w:highlight w:val="none"/>
                <w:lang w:val="en-US" w:eastAsia="zh-CN" w:bidi="ar-SA"/>
              </w:rPr>
              <w:instrText xml:space="preserve"> = 5 \* GB3 \* MERGEFORMAT </w:instrText>
            </w:r>
            <w:r>
              <w:rPr>
                <w:rFonts w:hint="default" w:ascii="宋体" w:hAnsi="宋体" w:eastAsia="宋体" w:cs="宋体"/>
                <w:color w:val="auto"/>
                <w:kern w:val="2"/>
                <w:sz w:val="22"/>
                <w:szCs w:val="22"/>
                <w:highlight w:val="none"/>
                <w:lang w:val="en-US" w:eastAsia="zh-CN" w:bidi="ar-SA"/>
              </w:rPr>
              <w:fldChar w:fldCharType="separate"/>
            </w:r>
            <w:r>
              <w:rPr>
                <w:rFonts w:hint="eastAsia" w:ascii="宋体" w:hAnsi="宋体" w:eastAsia="宋体" w:cs="宋体"/>
                <w:color w:val="auto"/>
                <w:kern w:val="2"/>
                <w:sz w:val="22"/>
                <w:szCs w:val="22"/>
                <w:highlight w:val="none"/>
                <w:lang w:val="en-US" w:eastAsia="zh-CN" w:bidi="ar-SA"/>
              </w:rPr>
              <w:t>⑤</w:t>
            </w:r>
            <w:r>
              <w:rPr>
                <w:rFonts w:hint="default" w:ascii="宋体" w:hAnsi="宋体" w:eastAsia="宋体" w:cs="宋体"/>
                <w:color w:val="auto"/>
                <w:kern w:val="2"/>
                <w:sz w:val="22"/>
                <w:szCs w:val="22"/>
                <w:highlight w:val="none"/>
                <w:lang w:val="en-US" w:eastAsia="zh-CN" w:bidi="ar-SA"/>
              </w:rPr>
              <w:fldChar w:fldCharType="end"/>
            </w:r>
            <w:r>
              <w:rPr>
                <w:rFonts w:hint="eastAsia" w:ascii="宋体" w:hAnsi="宋体" w:eastAsia="宋体" w:cs="宋体"/>
                <w:color w:val="auto"/>
                <w:kern w:val="2"/>
                <w:sz w:val="22"/>
                <w:szCs w:val="22"/>
                <w:highlight w:val="none"/>
                <w:lang w:val="en-US" w:eastAsia="zh-CN" w:bidi="ar-SA"/>
              </w:rPr>
              <w:t>总监业绩与企业业绩可以重复。</w:t>
            </w:r>
          </w:p>
        </w:tc>
      </w:tr>
      <w:tr w14:paraId="3CA9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847" w:hRule="atLeast"/>
          <w:jc w:val="center"/>
        </w:trPr>
        <w:tc>
          <w:tcPr>
            <w:tcW w:w="1131" w:type="dxa"/>
            <w:vMerge w:val="continue"/>
            <w:noWrap w:val="0"/>
            <w:vAlign w:val="center"/>
          </w:tcPr>
          <w:p w14:paraId="76742EDB">
            <w:pPr>
              <w:widowControl/>
              <w:jc w:val="center"/>
              <w:rPr>
                <w:rFonts w:hint="eastAsia" w:ascii="宋体" w:hAnsi="宋体" w:cs="宋体"/>
                <w:color w:val="auto"/>
                <w:spacing w:val="-1"/>
                <w:kern w:val="0"/>
                <w:sz w:val="24"/>
                <w:szCs w:val="24"/>
                <w:highlight w:val="none"/>
                <w:lang w:val="zh-CN"/>
              </w:rPr>
            </w:pPr>
          </w:p>
        </w:tc>
        <w:tc>
          <w:tcPr>
            <w:tcW w:w="5007" w:type="dxa"/>
            <w:tcBorders>
              <w:top w:val="single" w:color="auto" w:sz="4" w:space="0"/>
              <w:right w:val="single" w:color="auto" w:sz="4" w:space="0"/>
            </w:tcBorders>
            <w:noWrap w:val="0"/>
            <w:vAlign w:val="center"/>
          </w:tcPr>
          <w:p w14:paraId="6DF0E9B2">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（2）拟派总监理工程师具有工程类中级技术职称的，得3分；具有工程类高级及以上职称的得5分，未提供不得分。</w:t>
            </w:r>
          </w:p>
          <w:p w14:paraId="6A43846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备注：提供证书复印件加盖公章装订在投标文件中，否则不予计分。具有多个职称证书的，不重复计分；按最高职称等级计分。</w:t>
            </w:r>
          </w:p>
        </w:tc>
        <w:tc>
          <w:tcPr>
            <w:tcW w:w="3904" w:type="dxa"/>
            <w:tcBorders>
              <w:top w:val="single" w:color="auto" w:sz="4" w:space="0"/>
              <w:left w:val="single" w:color="auto" w:sz="4" w:space="0"/>
            </w:tcBorders>
            <w:noWrap w:val="0"/>
            <w:vAlign w:val="center"/>
          </w:tcPr>
          <w:p w14:paraId="7E322D57">
            <w:pPr>
              <w:pStyle w:val="22"/>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提供证书复印件加盖公章装订在投标文件中，否则不予计分。具有多个职称证书的，不重复计分；按最高职称等级计分。</w:t>
            </w:r>
          </w:p>
        </w:tc>
      </w:tr>
      <w:tr w14:paraId="3042B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406" w:hRule="atLeast"/>
          <w:jc w:val="center"/>
        </w:trPr>
        <w:tc>
          <w:tcPr>
            <w:tcW w:w="1131" w:type="dxa"/>
            <w:noWrap w:val="0"/>
            <w:vAlign w:val="center"/>
          </w:tcPr>
          <w:p w14:paraId="7BCD8A5A">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监理服务收费（满分</w:t>
            </w:r>
            <w:r>
              <w:rPr>
                <w:rFonts w:hint="eastAsia" w:ascii="宋体" w:hAnsi="宋体" w:cs="宋体"/>
                <w:b/>
                <w:color w:val="auto"/>
                <w:kern w:val="0"/>
                <w:sz w:val="22"/>
                <w:szCs w:val="22"/>
                <w:highlight w:val="none"/>
                <w:lang w:val="en-US" w:eastAsia="zh-CN"/>
              </w:rPr>
              <w:t>35</w:t>
            </w:r>
            <w:r>
              <w:rPr>
                <w:rFonts w:hint="eastAsia" w:ascii="宋体" w:hAnsi="宋体" w:cs="宋体"/>
                <w:b/>
                <w:color w:val="auto"/>
                <w:kern w:val="0"/>
                <w:sz w:val="22"/>
                <w:szCs w:val="22"/>
                <w:highlight w:val="none"/>
              </w:rPr>
              <w:t>分）</w:t>
            </w:r>
          </w:p>
        </w:tc>
        <w:tc>
          <w:tcPr>
            <w:tcW w:w="8911" w:type="dxa"/>
            <w:gridSpan w:val="2"/>
            <w:noWrap w:val="0"/>
            <w:vAlign w:val="center"/>
          </w:tcPr>
          <w:p w14:paraId="3306EB88">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以下所有涉及报价计算的结果均按四舍五入原则保留两位小数：</w:t>
            </w:r>
          </w:p>
          <w:p w14:paraId="598E8922">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cs="宋体"/>
                <w:color w:val="auto"/>
                <w:szCs w:val="21"/>
                <w:highlight w:val="none"/>
              </w:rPr>
              <w:t>投标人的监理服务收费高于本次招标工程施工监理服务收费最高投标限价 A 的</w:t>
            </w:r>
            <w:r>
              <w:rPr>
                <w:rFonts w:hint="eastAsia" w:ascii="宋体" w:hAnsi="宋体" w:cs="宋体"/>
                <w:b/>
                <w:color w:val="auto"/>
                <w:szCs w:val="21"/>
                <w:highlight w:val="none"/>
              </w:rPr>
              <w:t>作为</w:t>
            </w:r>
            <w:r>
              <w:rPr>
                <w:rFonts w:hint="eastAsia" w:ascii="宋体" w:hAnsi="宋体" w:cs="宋体"/>
                <w:b/>
                <w:color w:val="auto"/>
                <w:szCs w:val="21"/>
                <w:highlight w:val="none"/>
                <w:lang w:val="en-US" w:eastAsia="zh-CN"/>
              </w:rPr>
              <w:t>无效标</w:t>
            </w:r>
            <w:r>
              <w:rPr>
                <w:rFonts w:hint="eastAsia" w:ascii="宋体" w:hAnsi="宋体" w:cs="宋体"/>
                <w:b/>
                <w:color w:val="auto"/>
                <w:szCs w:val="21"/>
                <w:highlight w:val="none"/>
              </w:rPr>
              <w:t>处理</w:t>
            </w:r>
            <w:r>
              <w:rPr>
                <w:rFonts w:hint="eastAsia" w:ascii="宋体" w:hAnsi="宋体" w:cs="宋体"/>
                <w:color w:val="auto"/>
                <w:szCs w:val="21"/>
                <w:highlight w:val="none"/>
              </w:rPr>
              <w:t>，同时该投标人的投标报价不计入平均值计算；</w:t>
            </w:r>
          </w:p>
          <w:p w14:paraId="0D09264B">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低于最高投标限价的</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5%（不含本数）或高于最高投标限价的</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5%（不含本数）的投标报价，均不参与以下平均值的计算。</w:t>
            </w:r>
          </w:p>
          <w:p w14:paraId="4EAF438C">
            <w:pPr>
              <w:widowControl/>
              <w:adjustRightInd w:val="0"/>
              <w:snapToGrid w:val="0"/>
              <w:spacing w:line="300" w:lineRule="exact"/>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当最高投标限价的</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5%与最高投标限价的</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5%之间无投标报价时（含本数），属于报价异常，本项目招标失败。</w:t>
            </w:r>
          </w:p>
          <w:p w14:paraId="725989AE">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计算投标报价算术平均值b</w:t>
            </w:r>
          </w:p>
          <w:p w14:paraId="5F0C2266">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（1）设通过前述各步骤评审的投标人数量为M,最高投标限价为A。</w:t>
            </w:r>
          </w:p>
          <w:p w14:paraId="21B840C3">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（2）当投标单位家数M≤5时，则取所有投标报价的算术平均值为b值</w:t>
            </w:r>
          </w:p>
          <w:p w14:paraId="415E8A15">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（3）当M＞5时，按由高到低顺序去掉报价高的M×10%（四舍五入取整数）家和按由低到高顺序去除报价低的M×10%（四舍五入取整数）家后，在此范围内的所有投标报价取算术平均值为b值；</w:t>
            </w:r>
          </w:p>
          <w:p w14:paraId="3A1C3444">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有效投标报价等于评标基准值</w:t>
            </w:r>
            <w:r>
              <w:rPr>
                <w:rFonts w:hint="eastAsia" w:ascii="宋体" w:hAnsi="宋体" w:eastAsia="宋体" w:cs="宋体"/>
                <w:color w:val="auto"/>
                <w:sz w:val="22"/>
                <w:szCs w:val="22"/>
                <w:highlight w:val="none"/>
                <w:lang w:val="en-US" w:eastAsia="zh-CN"/>
              </w:rPr>
              <w:t>b</w:t>
            </w:r>
            <w:r>
              <w:rPr>
                <w:rFonts w:hint="eastAsia" w:ascii="宋体" w:hAnsi="宋体" w:eastAsia="宋体" w:cs="宋体"/>
                <w:color w:val="auto"/>
                <w:sz w:val="22"/>
                <w:szCs w:val="22"/>
                <w:highlight w:val="none"/>
              </w:rPr>
              <w:t>值的得满分</w:t>
            </w: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分。报价每高于评标基准值1%扣 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分，每低于评标基准值1%扣0.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分，计算结果保留2位小数，计算公式为：3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-|投标人报价-评标基准值|/评标基准值*（0.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或0.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）*100。</w:t>
            </w:r>
          </w:p>
          <w:p w14:paraId="1F24466D">
            <w:pPr>
              <w:tabs>
                <w:tab w:val="left" w:pos="945"/>
              </w:tabs>
              <w:snapToGrid w:val="0"/>
              <w:spacing w:line="360" w:lineRule="auto"/>
              <w:ind w:firstLine="440" w:firstLineChars="200"/>
              <w:rPr>
                <w:rFonts w:hint="eastAsia" w:ascii="宋体" w:hAnsi="宋体" w:cs="宋体"/>
                <w:color w:val="auto"/>
                <w:sz w:val="24"/>
                <w:szCs w:val="24"/>
                <w:highlight w:val="none"/>
              </w:rPr>
            </w:pPr>
            <w:r>
              <w:rPr>
                <w:rFonts w:hint="eastAsia" w:ascii="宋体" w:hAnsi="宋体" w:eastAsia="宋体" w:cs="宋体"/>
                <w:color w:val="auto"/>
                <w:sz w:val="22"/>
                <w:szCs w:val="22"/>
                <w:highlight w:val="none"/>
              </w:rPr>
              <w:t>注：投标人的投标报价保留两位小数，第三位四舍五入。</w:t>
            </w:r>
          </w:p>
        </w:tc>
      </w:tr>
    </w:tbl>
    <w:p w14:paraId="6AEB2785">
      <w:pPr>
        <w:pStyle w:val="48"/>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投标人必须按规定提供完整的上述证明材料，复印件加盖公章装订在投标文件中，否则不得分。</w:t>
      </w:r>
    </w:p>
    <w:p w14:paraId="75360268">
      <w:pPr>
        <w:rPr>
          <w:rFonts w:hint="eastAsia"/>
          <w:color w:val="auto"/>
          <w:highlight w:val="none"/>
          <w:lang w:val="en-US" w:eastAsia="zh-CN"/>
        </w:rPr>
      </w:pPr>
    </w:p>
    <w:p w14:paraId="3220EF98">
      <w:pPr>
        <w:numPr>
          <w:ilvl w:val="0"/>
          <w:numId w:val="3"/>
        </w:numPr>
        <w:tabs>
          <w:tab w:val="left" w:pos="945"/>
        </w:tabs>
        <w:snapToGrid w:val="0"/>
        <w:spacing w:line="360" w:lineRule="auto"/>
        <w:ind w:firstLine="480" w:firstLineChars="200"/>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企业信用评审</w:t>
      </w:r>
    </w:p>
    <w:p w14:paraId="3B562B9F">
      <w:pPr>
        <w:tabs>
          <w:tab w:val="left" w:pos="94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评标委员会现场查询投</w:t>
      </w:r>
      <w:r>
        <w:rPr>
          <w:rFonts w:hint="eastAsia" w:ascii="宋体" w:hAnsi="宋体" w:eastAsia="宋体" w:cs="宋体"/>
          <w:color w:val="auto"/>
          <w:sz w:val="24"/>
          <w:highlight w:val="none"/>
        </w:rPr>
        <w:t>标人诚信承诺书。</w:t>
      </w:r>
    </w:p>
    <w:p w14:paraId="4343DDE8">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eastAsia="zh-CN"/>
        </w:rPr>
        <w:t>5</w:t>
      </w:r>
      <w:r>
        <w:rPr>
          <w:rFonts w:hint="default" w:ascii="宋体" w:hAnsi="宋体" w:eastAsia="宋体" w:cs="宋体"/>
          <w:b/>
          <w:bCs/>
          <w:color w:val="auto"/>
          <w:sz w:val="24"/>
          <w:highlight w:val="none"/>
        </w:rPr>
        <w:t>.1行贿犯罪记录</w:t>
      </w:r>
    </w:p>
    <w:p w14:paraId="6971201F">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投标人自投标截止之日起前三年有行贿犯罪记录的，信用评审不合格。</w:t>
      </w:r>
    </w:p>
    <w:p w14:paraId="33DC7368">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eastAsia="zh-CN"/>
        </w:rPr>
        <w:t>5</w:t>
      </w:r>
      <w:r>
        <w:rPr>
          <w:rFonts w:hint="default" w:ascii="宋体" w:hAnsi="宋体" w:eastAsia="宋体" w:cs="宋体"/>
          <w:b/>
          <w:bCs/>
          <w:color w:val="auto"/>
          <w:sz w:val="24"/>
          <w:highlight w:val="none"/>
        </w:rPr>
        <w:t>.2限制投标的行政处罚、限制在本市承揽业务的行政处理</w:t>
      </w:r>
    </w:p>
    <w:p w14:paraId="48F8A27B">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投标人或</w:t>
      </w:r>
      <w:r>
        <w:rPr>
          <w:rFonts w:hint="eastAsia" w:ascii="宋体" w:hAnsi="宋体" w:cs="宋体"/>
          <w:color w:val="auto"/>
          <w:sz w:val="24"/>
          <w:highlight w:val="none"/>
          <w:lang w:val="en-US" w:eastAsia="zh-CN"/>
        </w:rPr>
        <w:t>总监理工程师</w:t>
      </w:r>
      <w:r>
        <w:rPr>
          <w:rFonts w:hint="default" w:ascii="宋体" w:hAnsi="宋体" w:eastAsia="宋体" w:cs="宋体"/>
          <w:color w:val="auto"/>
          <w:sz w:val="24"/>
          <w:highlight w:val="none"/>
        </w:rPr>
        <w:t>“受到招投标行政监管部门（或政府行业监管部门）限制投标的行政处罚，受到政府行业监管部门限制在本市承揽业务的行政处理，至投标截止之日仍在处罚、处理期内的”，信用评审不合格。</w:t>
      </w:r>
    </w:p>
    <w:p w14:paraId="6A2FF5A4">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3</w:t>
      </w:r>
      <w:r>
        <w:rPr>
          <w:rFonts w:hint="default" w:ascii="宋体" w:hAnsi="宋体" w:eastAsia="宋体" w:cs="宋体"/>
          <w:b/>
          <w:bCs/>
          <w:color w:val="auto"/>
          <w:sz w:val="24"/>
          <w:highlight w:val="none"/>
        </w:rPr>
        <w:t xml:space="preserve"> 在招投标活动中存在弄虚作假或串通投标等行为</w:t>
      </w:r>
    </w:p>
    <w:p w14:paraId="570022F1">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投标人在招投标活动中因弄虚作假或串通投标等违法违规行为被处理，在</w:t>
      </w:r>
      <w:r>
        <w:rPr>
          <w:rFonts w:hint="default" w:ascii="宋体" w:hAnsi="宋体" w:eastAsia="宋体" w:cs="宋体"/>
          <w:color w:val="auto"/>
          <w:sz w:val="24"/>
          <w:highlight w:val="none"/>
          <w:lang w:eastAsia="zh-CN"/>
        </w:rPr>
        <w:t>“</w:t>
      </w:r>
      <w:r>
        <w:rPr>
          <w:rFonts w:hint="default" w:ascii="宋体" w:hAnsi="宋体" w:eastAsia="宋体" w:cs="宋体"/>
          <w:color w:val="auto"/>
          <w:sz w:val="24"/>
          <w:highlight w:val="none"/>
        </w:rPr>
        <w:t>信用中国</w:t>
      </w:r>
      <w:r>
        <w:rPr>
          <w:rFonts w:hint="default" w:ascii="宋体" w:hAnsi="宋体" w:eastAsia="宋体" w:cs="宋体"/>
          <w:color w:val="auto"/>
          <w:sz w:val="24"/>
          <w:highlight w:val="none"/>
          <w:lang w:eastAsia="zh-CN"/>
        </w:rPr>
        <w:t>”</w:t>
      </w:r>
      <w:r>
        <w:rPr>
          <w:rFonts w:hint="default" w:ascii="宋体" w:hAnsi="宋体" w:eastAsia="宋体" w:cs="宋体"/>
          <w:color w:val="auto"/>
          <w:sz w:val="24"/>
          <w:highlight w:val="none"/>
        </w:rPr>
        <w:t>网站仍处于公示期内的，其信用评审不合格。</w:t>
      </w:r>
    </w:p>
    <w:p w14:paraId="4D9067BB">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4</w:t>
      </w:r>
      <w:r>
        <w:rPr>
          <w:rFonts w:hint="default" w:ascii="宋体" w:hAnsi="宋体" w:eastAsia="宋体" w:cs="宋体"/>
          <w:b/>
          <w:bCs/>
          <w:color w:val="auto"/>
          <w:sz w:val="24"/>
          <w:highlight w:val="none"/>
        </w:rPr>
        <w:t>住建部门“黑名单”</w:t>
      </w:r>
    </w:p>
    <w:p w14:paraId="41EA400E">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在市住建局网站“应用平台”栏目下的“铜陵市建筑施工企业和房地产开发企业信用系统”，被列入“黑名单”的信用评审不合格。</w:t>
      </w:r>
    </w:p>
    <w:p w14:paraId="14FE5D74">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人力资源社会保障行政部门“失信名单”</w:t>
      </w:r>
    </w:p>
    <w:p w14:paraId="5B2E86F7">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被人力资源社会保障行政部门列入信用铜陵“失信名单”信用评审不合格，此项以信用铜陵（http://xytl.tl.gov.cn/）“守信失信名单”栏目为准。</w:t>
      </w:r>
    </w:p>
    <w:p w14:paraId="0A8DA351">
      <w:pPr>
        <w:tabs>
          <w:tab w:val="left" w:pos="945"/>
        </w:tabs>
        <w:snapToGrid w:val="0"/>
        <w:spacing w:line="360" w:lineRule="auto"/>
        <w:ind w:firstLine="480" w:firstLineChars="200"/>
        <w:rPr>
          <w:rFonts w:hint="default"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6</w:t>
      </w:r>
      <w:r>
        <w:rPr>
          <w:rFonts w:hint="default" w:ascii="宋体" w:hAnsi="宋体" w:eastAsia="宋体" w:cs="宋体"/>
          <w:b/>
          <w:bCs/>
          <w:color w:val="auto"/>
          <w:sz w:val="24"/>
          <w:highlight w:val="none"/>
        </w:rPr>
        <w:t>联合体投标及其他情形的处理</w:t>
      </w:r>
    </w:p>
    <w:p w14:paraId="3BA857D3">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联合体成员单位存在行贿犯罪记录、限制投标（或在本市承揽业务）的行政处罚、在招投标活动中存在弄虚作假或串通投标等行为</w:t>
      </w:r>
      <w:r>
        <w:rPr>
          <w:rFonts w:hint="default" w:ascii="宋体" w:hAnsi="宋体" w:eastAsia="宋体" w:cs="宋体"/>
          <w:color w:val="auto"/>
          <w:sz w:val="24"/>
          <w:highlight w:val="none"/>
          <w:lang w:eastAsia="zh-CN"/>
        </w:rPr>
        <w:t>、</w:t>
      </w:r>
      <w:r>
        <w:rPr>
          <w:rFonts w:hint="default" w:ascii="宋体" w:hAnsi="宋体" w:eastAsia="宋体" w:cs="宋体"/>
          <w:color w:val="auto"/>
          <w:sz w:val="24"/>
          <w:highlight w:val="none"/>
        </w:rPr>
        <w:t>住建部门黑名单、人力资源社会保障行政部门“失信名单”的，视为联合体存在相关情形。</w:t>
      </w:r>
    </w:p>
    <w:p w14:paraId="0B3DDDA5">
      <w:pPr>
        <w:pStyle w:val="52"/>
        <w:spacing w:line="360" w:lineRule="auto"/>
        <w:ind w:firstLine="482"/>
        <w:rPr>
          <w:rFonts w:ascii="宋体" w:hAnsi="宋体" w:cs="等线"/>
          <w:b/>
          <w:bCs/>
          <w:color w:val="auto"/>
          <w:sz w:val="24"/>
          <w:szCs w:val="24"/>
          <w:highlight w:val="none"/>
        </w:rPr>
      </w:pPr>
    </w:p>
    <w:p w14:paraId="2CF55DC8">
      <w:pPr>
        <w:pStyle w:val="52"/>
        <w:spacing w:line="360" w:lineRule="auto"/>
        <w:ind w:firstLine="482"/>
        <w:rPr>
          <w:rFonts w:hint="default" w:ascii="宋体" w:hAnsi="宋体" w:cs="等线"/>
          <w:b/>
          <w:bCs/>
          <w:color w:val="auto"/>
          <w:sz w:val="24"/>
          <w:szCs w:val="24"/>
          <w:highlight w:val="none"/>
        </w:rPr>
      </w:pPr>
      <w:r>
        <w:rPr>
          <w:rFonts w:ascii="宋体" w:hAnsi="宋体" w:cs="等线"/>
          <w:b/>
          <w:bCs/>
          <w:color w:val="auto"/>
          <w:sz w:val="24"/>
          <w:szCs w:val="24"/>
          <w:highlight w:val="none"/>
        </w:rPr>
        <w:t>六、投标人总得分</w:t>
      </w:r>
    </w:p>
    <w:p w14:paraId="2D4397D0">
      <w:pPr>
        <w:pStyle w:val="48"/>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投标人的最终总得分=“监理大纲”得分+</w:t>
      </w:r>
      <w:r>
        <w:rPr>
          <w:rFonts w:hint="eastAsia" w:ascii="宋体" w:hAnsi="宋体" w:cs="宋体"/>
          <w:color w:val="auto"/>
          <w:sz w:val="24"/>
          <w:szCs w:val="24"/>
          <w:highlight w:val="none"/>
          <w:lang w:eastAsia="zh-CN"/>
        </w:rPr>
        <w:t>“投标人企业实力”</w:t>
      </w:r>
      <w:r>
        <w:rPr>
          <w:rFonts w:hint="eastAsia" w:ascii="宋体" w:hAnsi="宋体" w:cs="宋体"/>
          <w:color w:val="auto"/>
          <w:sz w:val="24"/>
          <w:szCs w:val="24"/>
          <w:highlight w:val="none"/>
        </w:rPr>
        <w:t>得分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eastAsia="zh-CN"/>
        </w:rPr>
        <w:t>总监实力</w:t>
      </w:r>
      <w:r>
        <w:rPr>
          <w:rFonts w:hint="eastAsia" w:ascii="宋体" w:hAnsi="宋体" w:cs="宋体"/>
          <w:color w:val="auto"/>
          <w:sz w:val="24"/>
          <w:szCs w:val="24"/>
          <w:highlight w:val="none"/>
        </w:rPr>
        <w:t>”得分+“监理服务收费”得分。</w:t>
      </w:r>
    </w:p>
    <w:p w14:paraId="4093B1A9">
      <w:pPr>
        <w:spacing w:line="360" w:lineRule="auto"/>
        <w:ind w:firstLine="480" w:firstLineChars="200"/>
        <w:rPr>
          <w:rFonts w:ascii="宋体" w:hAnsi="宋体" w:cs="等线"/>
          <w:b/>
          <w:bCs/>
          <w:color w:val="auto"/>
          <w:sz w:val="24"/>
          <w:szCs w:val="24"/>
          <w:highlight w:val="none"/>
        </w:rPr>
      </w:pPr>
    </w:p>
    <w:p w14:paraId="49AB5538">
      <w:pPr>
        <w:spacing w:line="360" w:lineRule="auto"/>
        <w:ind w:firstLine="480" w:firstLineChars="200"/>
        <w:rPr>
          <w:rFonts w:ascii="宋体" w:hAnsi="宋体" w:cs="等线"/>
          <w:b/>
          <w:bCs/>
          <w:color w:val="auto"/>
          <w:sz w:val="24"/>
          <w:szCs w:val="24"/>
          <w:highlight w:val="none"/>
        </w:rPr>
      </w:pPr>
      <w:r>
        <w:rPr>
          <w:rFonts w:hint="eastAsia" w:ascii="宋体" w:hAnsi="宋体" w:cs="等线"/>
          <w:b/>
          <w:bCs/>
          <w:color w:val="auto"/>
          <w:sz w:val="24"/>
          <w:szCs w:val="24"/>
          <w:highlight w:val="none"/>
        </w:rPr>
        <w:t>七、</w:t>
      </w:r>
      <w:r>
        <w:rPr>
          <w:rFonts w:hint="eastAsia" w:ascii="宋体" w:hAnsi="宋体" w:cs="等线"/>
          <w:b/>
          <w:bCs/>
          <w:color w:val="auto"/>
          <w:kern w:val="0"/>
          <w:sz w:val="24"/>
          <w:szCs w:val="24"/>
          <w:highlight w:val="none"/>
        </w:rPr>
        <w:t>推荐中标候选人</w:t>
      </w:r>
    </w:p>
    <w:p w14:paraId="1C1E0BB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评标委员会将投标人的最终总得分按由高到低的顺序进行排序，并</w:t>
      </w:r>
      <w:r>
        <w:rPr>
          <w:rFonts w:hint="eastAsia" w:ascii="宋体" w:hAnsi="宋体" w:cs="宋体"/>
          <w:color w:val="auto"/>
          <w:kern w:val="0"/>
          <w:sz w:val="24"/>
          <w:szCs w:val="24"/>
          <w:highlight w:val="none"/>
        </w:rPr>
        <w:t>推荐</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名为中标候选人</w:t>
      </w:r>
      <w:r>
        <w:rPr>
          <w:rFonts w:hint="eastAsia" w:ascii="宋体" w:hAnsi="宋体" w:cs="宋体"/>
          <w:color w:val="auto"/>
          <w:kern w:val="0"/>
          <w:sz w:val="24"/>
          <w:szCs w:val="24"/>
          <w:highlight w:val="none"/>
        </w:rPr>
        <w:t>，若无法推荐招标文件规定数量的，以实际合格的投标人家数为准。</w:t>
      </w:r>
      <w:r>
        <w:rPr>
          <w:rFonts w:hint="eastAsia" w:ascii="宋体" w:hAnsi="宋体" w:cs="仿宋"/>
          <w:color w:val="auto"/>
          <w:sz w:val="24"/>
          <w:szCs w:val="24"/>
          <w:highlight w:val="none"/>
        </w:rPr>
        <w:t>若出现两家（及两家以上）投标单位的总得分相同时，低价者优先；若报价也相同时，由招标人或代理机构在公管部门的监督下现场组织抽签确定排序。</w:t>
      </w:r>
    </w:p>
    <w:p w14:paraId="653D41C0">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如本项目有业绩要求，评标委员会应在评标报告中载明经评审认可的中标候选人业绩情况，代理机构将评标报告中载明的经评审认定的业绩予以公示。</w:t>
      </w:r>
    </w:p>
    <w:p w14:paraId="66B8A774">
      <w:pPr>
        <w:spacing w:line="360" w:lineRule="auto"/>
        <w:ind w:firstLine="480" w:firstLineChars="200"/>
        <w:rPr>
          <w:rFonts w:ascii="宋体" w:hAnsi="宋体" w:cs="仿宋"/>
          <w:color w:val="auto"/>
          <w:kern w:val="0"/>
          <w:sz w:val="24"/>
          <w:szCs w:val="24"/>
          <w:highlight w:val="none"/>
        </w:rPr>
        <w:sectPr>
          <w:headerReference r:id="rId3" w:type="default"/>
          <w:footerReference r:id="rId4" w:type="default"/>
          <w:footerReference r:id="rId5" w:type="even"/>
          <w:pgSz w:w="11906" w:h="16838"/>
          <w:pgMar w:top="1247" w:right="1247" w:bottom="1247" w:left="1247" w:header="794" w:footer="567" w:gutter="0"/>
          <w:pgNumType w:start="0"/>
          <w:cols w:space="720" w:num="1"/>
          <w:titlePg/>
          <w:docGrid w:type="linesAndChars" w:linePitch="312" w:charSpace="0"/>
        </w:sectPr>
      </w:pPr>
      <w:r>
        <w:rPr>
          <w:rFonts w:hint="eastAsia" w:ascii="宋体" w:hAnsi="宋体" w:cs="宋体"/>
          <w:bCs/>
          <w:color w:val="auto"/>
          <w:sz w:val="24"/>
          <w:szCs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r>
        <w:rPr>
          <w:rFonts w:hint="eastAsia" w:ascii="宋体" w:hAnsi="宋体" w:cs="仿宋"/>
          <w:color w:val="auto"/>
          <w:kern w:val="0"/>
          <w:sz w:val="24"/>
          <w:szCs w:val="24"/>
          <w:highlight w:val="none"/>
        </w:rPr>
        <w:t>。</w:t>
      </w:r>
    </w:p>
    <w:p w14:paraId="42100AAD">
      <w:pPr>
        <w:spacing w:line="360" w:lineRule="auto"/>
        <w:ind w:left="170" w:firstLine="36" w:firstLineChars="15"/>
        <w:rPr>
          <w:rFonts w:ascii="宋体" w:hAnsi="宋体" w:cs="宋体"/>
          <w:color w:val="auto"/>
          <w:sz w:val="24"/>
          <w:szCs w:val="24"/>
          <w:highlight w:val="none"/>
        </w:rPr>
      </w:pPr>
      <w:r>
        <w:rPr>
          <w:rFonts w:hint="eastAsia" w:ascii="宋体" w:hAnsi="宋体" w:cs="宋体"/>
          <w:color w:val="auto"/>
          <w:sz w:val="24"/>
          <w:szCs w:val="24"/>
          <w:highlight w:val="none"/>
        </w:rPr>
        <w:t>附表</w:t>
      </w:r>
    </w:p>
    <w:p w14:paraId="33F6D453">
      <w:pPr>
        <w:spacing w:line="360" w:lineRule="auto"/>
        <w:ind w:left="170" w:firstLine="54" w:firstLineChars="15"/>
        <w:jc w:val="center"/>
        <w:rPr>
          <w:rFonts w:ascii="宋体" w:hAnsi="宋体" w:cs="宋体"/>
          <w:color w:val="auto"/>
          <w:sz w:val="36"/>
          <w:szCs w:val="36"/>
          <w:highlight w:val="none"/>
        </w:rPr>
      </w:pPr>
      <w:r>
        <w:rPr>
          <w:rFonts w:hint="eastAsia" w:ascii="宋体" w:hAnsi="宋体" w:cs="宋体"/>
          <w:color w:val="auto"/>
          <w:sz w:val="36"/>
          <w:szCs w:val="36"/>
          <w:highlight w:val="none"/>
        </w:rPr>
        <w:t>本工程监理机构人员及专业配备最低要求</w:t>
      </w:r>
    </w:p>
    <w:tbl>
      <w:tblPr>
        <w:tblStyle w:val="2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759"/>
        <w:gridCol w:w="2746"/>
        <w:gridCol w:w="2046"/>
        <w:gridCol w:w="2288"/>
        <w:gridCol w:w="2724"/>
      </w:tblGrid>
      <w:tr w14:paraId="4EAB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47AC759F">
            <w:pPr>
              <w:widowControl/>
              <w:spacing w:line="360" w:lineRule="auto"/>
              <w:jc w:val="center"/>
              <w:rPr>
                <w:rFonts w:ascii="宋体" w:hAnsi="宋体" w:cs="宋体"/>
                <w:color w:val="auto"/>
                <w:sz w:val="30"/>
                <w:szCs w:val="30"/>
                <w:highlight w:val="none"/>
              </w:rPr>
            </w:pPr>
            <w:bookmarkStart w:id="18" w:name="_Hlk82193577"/>
            <w:r>
              <w:rPr>
                <w:rFonts w:hint="eastAsia" w:ascii="宋体" w:hAnsi="宋体" w:cs="宋体"/>
                <w:color w:val="auto"/>
                <w:kern w:val="0"/>
                <w:sz w:val="30"/>
                <w:szCs w:val="30"/>
                <w:highlight w:val="none"/>
              </w:rPr>
              <w:t>名称</w:t>
            </w:r>
          </w:p>
        </w:tc>
        <w:tc>
          <w:tcPr>
            <w:tcW w:w="2759" w:type="dxa"/>
            <w:vAlign w:val="center"/>
          </w:tcPr>
          <w:p w14:paraId="64F6D358">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总监理工程师</w:t>
            </w:r>
          </w:p>
        </w:tc>
        <w:tc>
          <w:tcPr>
            <w:tcW w:w="2746" w:type="dxa"/>
            <w:vAlign w:val="center"/>
          </w:tcPr>
          <w:p w14:paraId="222FA046">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专业监理工程师</w:t>
            </w:r>
          </w:p>
        </w:tc>
        <w:tc>
          <w:tcPr>
            <w:tcW w:w="2046" w:type="dxa"/>
            <w:vAlign w:val="center"/>
          </w:tcPr>
          <w:p w14:paraId="2412231B">
            <w:pPr>
              <w:widowControl/>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监理人员</w:t>
            </w:r>
          </w:p>
        </w:tc>
        <w:tc>
          <w:tcPr>
            <w:tcW w:w="2288" w:type="dxa"/>
            <w:vAlign w:val="center"/>
          </w:tcPr>
          <w:p w14:paraId="390BD7A2">
            <w:pPr>
              <w:widowControl/>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见证人员</w:t>
            </w:r>
          </w:p>
          <w:p w14:paraId="2246D5E9">
            <w:pPr>
              <w:widowControl/>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（可兼任）</w:t>
            </w:r>
          </w:p>
        </w:tc>
        <w:tc>
          <w:tcPr>
            <w:tcW w:w="2724" w:type="dxa"/>
            <w:vAlign w:val="center"/>
          </w:tcPr>
          <w:p w14:paraId="503652F2">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合计</w:t>
            </w:r>
            <w:r>
              <w:rPr>
                <w:rFonts w:ascii="宋体" w:hAnsi="宋体" w:cs="宋体"/>
                <w:color w:val="auto"/>
                <w:kern w:val="0"/>
                <w:sz w:val="30"/>
                <w:szCs w:val="30"/>
                <w:highlight w:val="none"/>
              </w:rPr>
              <w:br w:type="textWrapping"/>
            </w:r>
            <w:r>
              <w:rPr>
                <w:rFonts w:hint="eastAsia" w:ascii="宋体" w:hAnsi="宋体" w:cs="宋体"/>
                <w:color w:val="auto"/>
                <w:kern w:val="0"/>
                <w:sz w:val="30"/>
                <w:szCs w:val="30"/>
                <w:highlight w:val="none"/>
              </w:rPr>
              <w:t>（总人次）</w:t>
            </w:r>
          </w:p>
        </w:tc>
      </w:tr>
      <w:tr w14:paraId="3AF1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764" w:type="dxa"/>
            <w:vAlign w:val="center"/>
          </w:tcPr>
          <w:p w14:paraId="40924AC4">
            <w:pPr>
              <w:widowControl/>
              <w:spacing w:line="360" w:lineRule="auto"/>
              <w:jc w:val="center"/>
              <w:rPr>
                <w:rFonts w:ascii="宋体" w:hAnsi="宋体" w:cs="宋体"/>
                <w:color w:val="auto"/>
                <w:sz w:val="30"/>
                <w:szCs w:val="30"/>
                <w:highlight w:val="none"/>
              </w:rPr>
            </w:pPr>
            <w:r>
              <w:rPr>
                <w:rFonts w:hint="eastAsia" w:ascii="宋体" w:hAnsi="宋体" w:cs="宋体"/>
                <w:color w:val="auto"/>
                <w:kern w:val="0"/>
                <w:sz w:val="30"/>
                <w:szCs w:val="30"/>
                <w:highlight w:val="none"/>
              </w:rPr>
              <w:t>人数</w:t>
            </w:r>
          </w:p>
        </w:tc>
        <w:tc>
          <w:tcPr>
            <w:tcW w:w="2759" w:type="dxa"/>
            <w:vAlign w:val="center"/>
          </w:tcPr>
          <w:p w14:paraId="24494E8B">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1</w:t>
            </w:r>
          </w:p>
        </w:tc>
        <w:tc>
          <w:tcPr>
            <w:tcW w:w="2746" w:type="dxa"/>
            <w:vAlign w:val="center"/>
          </w:tcPr>
          <w:p w14:paraId="6515E261">
            <w:pPr>
              <w:widowControl/>
              <w:spacing w:line="360" w:lineRule="auto"/>
              <w:jc w:val="center"/>
              <w:rPr>
                <w:rFonts w:hint="eastAsia" w:ascii="宋体" w:hAnsi="宋体" w:cs="宋体" w:eastAsiaTheme="minorEastAsia"/>
                <w:color w:val="auto"/>
                <w:kern w:val="0"/>
                <w:sz w:val="30"/>
                <w:szCs w:val="30"/>
                <w:highlight w:val="none"/>
                <w:lang w:eastAsia="zh-CN"/>
              </w:rPr>
            </w:pPr>
            <w:r>
              <w:rPr>
                <w:rFonts w:hint="eastAsia" w:ascii="宋体" w:hAnsi="宋体" w:cs="宋体"/>
                <w:color w:val="auto"/>
                <w:kern w:val="0"/>
                <w:sz w:val="30"/>
                <w:szCs w:val="30"/>
                <w:highlight w:val="none"/>
                <w:lang w:val="en-US" w:eastAsia="zh-CN"/>
              </w:rPr>
              <w:t>1</w:t>
            </w:r>
          </w:p>
        </w:tc>
        <w:tc>
          <w:tcPr>
            <w:tcW w:w="2046" w:type="dxa"/>
            <w:vAlign w:val="center"/>
          </w:tcPr>
          <w:p w14:paraId="6E1D483E">
            <w:pPr>
              <w:widowControl/>
              <w:spacing w:line="360" w:lineRule="auto"/>
              <w:jc w:val="center"/>
              <w:rPr>
                <w:rFonts w:hint="eastAsia" w:ascii="宋体" w:hAnsi="宋体" w:cs="宋体" w:eastAsiaTheme="minorEastAsia"/>
                <w:color w:val="auto"/>
                <w:kern w:val="0"/>
                <w:sz w:val="30"/>
                <w:szCs w:val="30"/>
                <w:highlight w:val="none"/>
                <w:lang w:eastAsia="zh-CN"/>
              </w:rPr>
            </w:pPr>
            <w:r>
              <w:rPr>
                <w:rFonts w:hint="eastAsia" w:ascii="宋体" w:hAnsi="宋体" w:cs="宋体"/>
                <w:color w:val="auto"/>
                <w:kern w:val="0"/>
                <w:sz w:val="30"/>
                <w:szCs w:val="30"/>
                <w:highlight w:val="none"/>
                <w:lang w:val="en-US" w:eastAsia="zh-CN"/>
              </w:rPr>
              <w:t>1</w:t>
            </w:r>
          </w:p>
        </w:tc>
        <w:tc>
          <w:tcPr>
            <w:tcW w:w="2288" w:type="dxa"/>
            <w:vAlign w:val="center"/>
          </w:tcPr>
          <w:p w14:paraId="0BFA5C55">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1</w:t>
            </w:r>
          </w:p>
        </w:tc>
        <w:tc>
          <w:tcPr>
            <w:tcW w:w="2724" w:type="dxa"/>
            <w:vAlign w:val="center"/>
          </w:tcPr>
          <w:p w14:paraId="719DE0C5">
            <w:pPr>
              <w:widowControl/>
              <w:spacing w:line="360" w:lineRule="auto"/>
              <w:jc w:val="center"/>
              <w:rPr>
                <w:rFonts w:hint="eastAsia" w:ascii="宋体" w:hAnsi="宋体" w:cs="宋体" w:eastAsiaTheme="minorEastAsia"/>
                <w:color w:val="auto"/>
                <w:kern w:val="0"/>
                <w:sz w:val="30"/>
                <w:szCs w:val="30"/>
                <w:highlight w:val="none"/>
                <w:lang w:eastAsia="zh-CN"/>
              </w:rPr>
            </w:pPr>
            <w:r>
              <w:rPr>
                <w:rFonts w:hint="eastAsia" w:ascii="宋体" w:hAnsi="宋体" w:cs="宋体"/>
                <w:color w:val="auto"/>
                <w:kern w:val="0"/>
                <w:sz w:val="30"/>
                <w:szCs w:val="30"/>
                <w:highlight w:val="none"/>
                <w:lang w:val="en-US" w:eastAsia="zh-CN"/>
              </w:rPr>
              <w:t>4</w:t>
            </w:r>
          </w:p>
        </w:tc>
      </w:tr>
      <w:tr w14:paraId="0156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4327" w:type="dxa"/>
            <w:gridSpan w:val="6"/>
          </w:tcPr>
          <w:p w14:paraId="36DE585D">
            <w:pPr>
              <w:spacing w:line="360" w:lineRule="auto"/>
              <w:jc w:val="left"/>
              <w:rPr>
                <w:rFonts w:hint="default"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备注：</w:t>
            </w:r>
            <w:r>
              <w:rPr>
                <w:rFonts w:hint="eastAsia" w:ascii="宋体" w:hAnsi="宋体" w:cs="宋体"/>
                <w:b/>
                <w:color w:val="auto"/>
                <w:kern w:val="0"/>
                <w:sz w:val="28"/>
                <w:szCs w:val="28"/>
                <w:highlight w:val="none"/>
                <w:lang w:val="en-US" w:eastAsia="zh-CN" w:bidi="ar-SA"/>
              </w:rPr>
              <w:t xml:space="preserve">      </w:t>
            </w:r>
          </w:p>
          <w:p w14:paraId="41858CFD">
            <w:pPr>
              <w:widowControl/>
              <w:spacing w:line="360" w:lineRule="auto"/>
              <w:ind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 xml:space="preserve">1.总监理工程师必须具有有效的矿山工程专业国家注册监理工程师注册执业证书； </w:t>
            </w:r>
          </w:p>
          <w:p w14:paraId="79F41707">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2.配备的1名专业监理工程师，须具有有效的矿山工程专业国家注册监理工程师注册执业证书（省级监理工程师证书</w:t>
            </w:r>
            <w:bookmarkStart w:id="19" w:name="_GoBack"/>
            <w:bookmarkEnd w:id="19"/>
            <w:r>
              <w:rPr>
                <w:rFonts w:hint="eastAsia" w:ascii="宋体" w:hAnsi="宋体" w:cs="宋体" w:eastAsiaTheme="minorEastAsia"/>
                <w:b/>
                <w:color w:val="auto"/>
                <w:kern w:val="0"/>
                <w:sz w:val="28"/>
                <w:szCs w:val="28"/>
                <w:highlight w:val="none"/>
                <w:lang w:val="en-US" w:eastAsia="zh-CN" w:bidi="ar-SA"/>
              </w:rPr>
              <w:t xml:space="preserve">）。 </w:t>
            </w:r>
          </w:p>
          <w:p w14:paraId="7A047BD9">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3.监理员需在人员清单表中明确列出。</w:t>
            </w:r>
          </w:p>
          <w:p w14:paraId="5E1A74D3">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4.见证人员可由专业监理工程师或监理员兼任，需在人员清单表中明确列出。</w:t>
            </w:r>
          </w:p>
          <w:p w14:paraId="5E52ADE5">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5.本工程监理机构人员年龄均不得超过60周岁，须提供中华人民共和国居民身份证。</w:t>
            </w:r>
          </w:p>
          <w:p w14:paraId="53A176B8">
            <w:pPr>
              <w:pStyle w:val="22"/>
              <w:ind w:left="0" w:leftChars="0" w:firstLine="562" w:firstLineChars="200"/>
              <w:rPr>
                <w:rFonts w:hint="eastAsia"/>
                <w:color w:val="auto"/>
                <w:highlight w:val="none"/>
              </w:rPr>
            </w:pPr>
            <w:r>
              <w:rPr>
                <w:rFonts w:hint="eastAsia" w:ascii="宋体" w:hAnsi="宋体" w:cs="宋体" w:eastAsiaTheme="minorEastAsia"/>
                <w:b/>
                <w:color w:val="auto"/>
                <w:kern w:val="0"/>
                <w:sz w:val="28"/>
                <w:szCs w:val="28"/>
                <w:highlight w:val="none"/>
                <w:lang w:val="en-US" w:eastAsia="zh-CN" w:bidi="ar-SA"/>
              </w:rPr>
              <w:t>6.施工期间每天现场在岗人员不得少于3人。</w:t>
            </w:r>
          </w:p>
        </w:tc>
      </w:tr>
      <w:bookmarkEnd w:id="18"/>
    </w:tbl>
    <w:p w14:paraId="6D9E28CA">
      <w:pPr>
        <w:pStyle w:val="48"/>
        <w:spacing w:line="360" w:lineRule="auto"/>
        <w:rPr>
          <w:color w:val="auto"/>
          <w:highlight w:val="none"/>
        </w:rPr>
      </w:pPr>
    </w:p>
    <w:sectPr>
      <w:footerReference r:id="rId8" w:type="first"/>
      <w:headerReference r:id="rId6" w:type="default"/>
      <w:footerReference r:id="rId7" w:type="default"/>
      <w:pgSz w:w="16838" w:h="11906" w:orient="landscape"/>
      <w:pgMar w:top="1276" w:right="1089" w:bottom="1247" w:left="1089" w:header="794"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76D4">
    <w:pPr>
      <w:pStyle w:val="16"/>
      <w:jc w:val="center"/>
    </w:pPr>
    <w:r>
      <w:fldChar w:fldCharType="begin"/>
    </w:r>
    <w:r>
      <w:instrText xml:space="preserve"> PAGE   \* MERGEFORMAT </w:instrText>
    </w:r>
    <w:r>
      <w:fldChar w:fldCharType="separate"/>
    </w:r>
    <w:r>
      <w:rPr>
        <w:lang w:val="zh-CN"/>
      </w:rPr>
      <w:t>47</w:t>
    </w:r>
    <w:r>
      <w:rPr>
        <w:lang w:val="zh-CN"/>
      </w:rPr>
      <w:fldChar w:fldCharType="end"/>
    </w:r>
  </w:p>
  <w:p w14:paraId="3FA25E9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D293">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20</w:t>
    </w:r>
    <w:r>
      <w:fldChar w:fldCharType="end"/>
    </w:r>
  </w:p>
  <w:p w14:paraId="4A36E826">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2E76">
    <w:pPr>
      <w:pStyle w:val="16"/>
      <w:jc w:val="center"/>
    </w:pPr>
    <w:r>
      <w:fldChar w:fldCharType="begin"/>
    </w:r>
    <w:r>
      <w:instrText xml:space="preserve"> PAGE   \* MERGEFORMAT </w:instrText>
    </w:r>
    <w:r>
      <w:fldChar w:fldCharType="separate"/>
    </w:r>
    <w:r>
      <w:rPr>
        <w:lang w:val="zh-CN"/>
      </w:rPr>
      <w:t>12</w:t>
    </w:r>
    <w:r>
      <w:rPr>
        <w:lang w:val="zh-CN"/>
      </w:rPr>
      <w:fldChar w:fldCharType="end"/>
    </w:r>
  </w:p>
  <w:p w14:paraId="351DF8A8">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56B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B355">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2D09">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15FC8"/>
    <w:multiLevelType w:val="singleLevel"/>
    <w:tmpl w:val="F5015FC8"/>
    <w:lvl w:ilvl="0" w:tentative="0">
      <w:start w:val="2"/>
      <w:numFmt w:val="chineseCounting"/>
      <w:suff w:val="space"/>
      <w:lvlText w:val="第%1部分"/>
      <w:lvlJc w:val="left"/>
      <w:rPr>
        <w:rFonts w:hint="eastAsia"/>
      </w:rPr>
    </w:lvl>
  </w:abstractNum>
  <w:abstractNum w:abstractNumId="1">
    <w:nsid w:val="48FB0161"/>
    <w:multiLevelType w:val="multilevel"/>
    <w:tmpl w:val="48FB01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667EBD"/>
    <w:multiLevelType w:val="singleLevel"/>
    <w:tmpl w:val="4B667EBD"/>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E4YmZiNjM1ZjJhZmNhMTM1MDBiYzc1MzEwNGQ4NjUifQ=="/>
  </w:docVars>
  <w:rsids>
    <w:rsidRoot w:val="00172A27"/>
    <w:rsid w:val="00001256"/>
    <w:rsid w:val="00002EF4"/>
    <w:rsid w:val="00003013"/>
    <w:rsid w:val="00005F7F"/>
    <w:rsid w:val="00006E99"/>
    <w:rsid w:val="000076E9"/>
    <w:rsid w:val="00007EA8"/>
    <w:rsid w:val="00007F4A"/>
    <w:rsid w:val="00010F13"/>
    <w:rsid w:val="00012D1A"/>
    <w:rsid w:val="000135AB"/>
    <w:rsid w:val="000136D8"/>
    <w:rsid w:val="00013C99"/>
    <w:rsid w:val="000145ED"/>
    <w:rsid w:val="00021798"/>
    <w:rsid w:val="0002510F"/>
    <w:rsid w:val="00026F84"/>
    <w:rsid w:val="000272DE"/>
    <w:rsid w:val="00031D28"/>
    <w:rsid w:val="0003473C"/>
    <w:rsid w:val="00034FE0"/>
    <w:rsid w:val="0003741E"/>
    <w:rsid w:val="00037D2E"/>
    <w:rsid w:val="00040555"/>
    <w:rsid w:val="000420D2"/>
    <w:rsid w:val="000446F2"/>
    <w:rsid w:val="000457A2"/>
    <w:rsid w:val="000471D3"/>
    <w:rsid w:val="00050244"/>
    <w:rsid w:val="00050291"/>
    <w:rsid w:val="000516FA"/>
    <w:rsid w:val="00051FE8"/>
    <w:rsid w:val="00052224"/>
    <w:rsid w:val="00052285"/>
    <w:rsid w:val="000535DA"/>
    <w:rsid w:val="00053933"/>
    <w:rsid w:val="0005408F"/>
    <w:rsid w:val="00054382"/>
    <w:rsid w:val="00055F1B"/>
    <w:rsid w:val="00060AC7"/>
    <w:rsid w:val="00060FDF"/>
    <w:rsid w:val="0006164F"/>
    <w:rsid w:val="00062EF4"/>
    <w:rsid w:val="0006400F"/>
    <w:rsid w:val="000654F5"/>
    <w:rsid w:val="00065577"/>
    <w:rsid w:val="00066103"/>
    <w:rsid w:val="000664E2"/>
    <w:rsid w:val="00066D55"/>
    <w:rsid w:val="00066EA2"/>
    <w:rsid w:val="00067B4D"/>
    <w:rsid w:val="00070DFC"/>
    <w:rsid w:val="00071A65"/>
    <w:rsid w:val="0007301D"/>
    <w:rsid w:val="000730CD"/>
    <w:rsid w:val="000743B4"/>
    <w:rsid w:val="000751C8"/>
    <w:rsid w:val="00075EBE"/>
    <w:rsid w:val="00076D73"/>
    <w:rsid w:val="000802BA"/>
    <w:rsid w:val="00080FC8"/>
    <w:rsid w:val="00081B30"/>
    <w:rsid w:val="000829FB"/>
    <w:rsid w:val="000834ED"/>
    <w:rsid w:val="00083884"/>
    <w:rsid w:val="00083EC1"/>
    <w:rsid w:val="00083ED6"/>
    <w:rsid w:val="00086EA4"/>
    <w:rsid w:val="00086F9A"/>
    <w:rsid w:val="000902FF"/>
    <w:rsid w:val="000905C6"/>
    <w:rsid w:val="000940AB"/>
    <w:rsid w:val="00094842"/>
    <w:rsid w:val="00095E11"/>
    <w:rsid w:val="000A018F"/>
    <w:rsid w:val="000A025A"/>
    <w:rsid w:val="000A3B74"/>
    <w:rsid w:val="000A43C6"/>
    <w:rsid w:val="000A4BAF"/>
    <w:rsid w:val="000A5F4A"/>
    <w:rsid w:val="000A66D6"/>
    <w:rsid w:val="000A72F8"/>
    <w:rsid w:val="000A7EE7"/>
    <w:rsid w:val="000B40B5"/>
    <w:rsid w:val="000B54F3"/>
    <w:rsid w:val="000B5797"/>
    <w:rsid w:val="000B6747"/>
    <w:rsid w:val="000B6840"/>
    <w:rsid w:val="000B692C"/>
    <w:rsid w:val="000C0EA5"/>
    <w:rsid w:val="000C0F9F"/>
    <w:rsid w:val="000C10FD"/>
    <w:rsid w:val="000C1292"/>
    <w:rsid w:val="000C2B51"/>
    <w:rsid w:val="000C2F03"/>
    <w:rsid w:val="000C7DB8"/>
    <w:rsid w:val="000D0951"/>
    <w:rsid w:val="000D20C2"/>
    <w:rsid w:val="000D3388"/>
    <w:rsid w:val="000D508C"/>
    <w:rsid w:val="000D618F"/>
    <w:rsid w:val="000E3E92"/>
    <w:rsid w:val="000F07A9"/>
    <w:rsid w:val="000F10C2"/>
    <w:rsid w:val="000F131F"/>
    <w:rsid w:val="000F1D9C"/>
    <w:rsid w:val="000F21CF"/>
    <w:rsid w:val="000F6FFD"/>
    <w:rsid w:val="001000A7"/>
    <w:rsid w:val="00102C99"/>
    <w:rsid w:val="0010381E"/>
    <w:rsid w:val="00103847"/>
    <w:rsid w:val="00103C90"/>
    <w:rsid w:val="00106926"/>
    <w:rsid w:val="00106E9A"/>
    <w:rsid w:val="0011054F"/>
    <w:rsid w:val="0011151A"/>
    <w:rsid w:val="0011268F"/>
    <w:rsid w:val="00114367"/>
    <w:rsid w:val="001157D3"/>
    <w:rsid w:val="00116C40"/>
    <w:rsid w:val="00120004"/>
    <w:rsid w:val="00120863"/>
    <w:rsid w:val="001235D7"/>
    <w:rsid w:val="001243AA"/>
    <w:rsid w:val="0012472C"/>
    <w:rsid w:val="001251BC"/>
    <w:rsid w:val="00131604"/>
    <w:rsid w:val="0014362B"/>
    <w:rsid w:val="00145B55"/>
    <w:rsid w:val="001460B4"/>
    <w:rsid w:val="00150CE7"/>
    <w:rsid w:val="00150DD6"/>
    <w:rsid w:val="00151991"/>
    <w:rsid w:val="00152C7A"/>
    <w:rsid w:val="001547B4"/>
    <w:rsid w:val="00155440"/>
    <w:rsid w:val="00157163"/>
    <w:rsid w:val="00157B7A"/>
    <w:rsid w:val="001601F5"/>
    <w:rsid w:val="00162125"/>
    <w:rsid w:val="0016321E"/>
    <w:rsid w:val="00164734"/>
    <w:rsid w:val="001705BB"/>
    <w:rsid w:val="00170A1A"/>
    <w:rsid w:val="00170F0F"/>
    <w:rsid w:val="00171674"/>
    <w:rsid w:val="00172A27"/>
    <w:rsid w:val="00172B84"/>
    <w:rsid w:val="001763E1"/>
    <w:rsid w:val="0018350E"/>
    <w:rsid w:val="00184D9B"/>
    <w:rsid w:val="00185873"/>
    <w:rsid w:val="00187173"/>
    <w:rsid w:val="0019470C"/>
    <w:rsid w:val="00196FC7"/>
    <w:rsid w:val="001A0FBE"/>
    <w:rsid w:val="001A111B"/>
    <w:rsid w:val="001A1888"/>
    <w:rsid w:val="001A1A6B"/>
    <w:rsid w:val="001A3112"/>
    <w:rsid w:val="001A3A74"/>
    <w:rsid w:val="001A4032"/>
    <w:rsid w:val="001A4B96"/>
    <w:rsid w:val="001A60CB"/>
    <w:rsid w:val="001A65C6"/>
    <w:rsid w:val="001B26A6"/>
    <w:rsid w:val="001D0BB9"/>
    <w:rsid w:val="001D250C"/>
    <w:rsid w:val="001D36B3"/>
    <w:rsid w:val="001D47D2"/>
    <w:rsid w:val="001D7FCC"/>
    <w:rsid w:val="001E0665"/>
    <w:rsid w:val="001E091C"/>
    <w:rsid w:val="001E278D"/>
    <w:rsid w:val="001E4A4E"/>
    <w:rsid w:val="001E58AB"/>
    <w:rsid w:val="001F01D0"/>
    <w:rsid w:val="001F028B"/>
    <w:rsid w:val="001F2706"/>
    <w:rsid w:val="001F2EE0"/>
    <w:rsid w:val="001F4B6B"/>
    <w:rsid w:val="001F4C65"/>
    <w:rsid w:val="001F6158"/>
    <w:rsid w:val="001F644A"/>
    <w:rsid w:val="00200AB5"/>
    <w:rsid w:val="00203192"/>
    <w:rsid w:val="00210205"/>
    <w:rsid w:val="002104F4"/>
    <w:rsid w:val="00210D03"/>
    <w:rsid w:val="00211883"/>
    <w:rsid w:val="00216BA2"/>
    <w:rsid w:val="0021798E"/>
    <w:rsid w:val="00217C50"/>
    <w:rsid w:val="00222241"/>
    <w:rsid w:val="002232BF"/>
    <w:rsid w:val="00223EB5"/>
    <w:rsid w:val="0022441C"/>
    <w:rsid w:val="002256F3"/>
    <w:rsid w:val="00225EE0"/>
    <w:rsid w:val="00226DB3"/>
    <w:rsid w:val="00231D5C"/>
    <w:rsid w:val="00233764"/>
    <w:rsid w:val="00240B2E"/>
    <w:rsid w:val="00240DE8"/>
    <w:rsid w:val="00240F48"/>
    <w:rsid w:val="00243ED5"/>
    <w:rsid w:val="00244222"/>
    <w:rsid w:val="00250071"/>
    <w:rsid w:val="00250652"/>
    <w:rsid w:val="002509D5"/>
    <w:rsid w:val="00254F27"/>
    <w:rsid w:val="00255A0F"/>
    <w:rsid w:val="00256300"/>
    <w:rsid w:val="0025688C"/>
    <w:rsid w:val="00256C04"/>
    <w:rsid w:val="002618C5"/>
    <w:rsid w:val="0026397C"/>
    <w:rsid w:val="00266D60"/>
    <w:rsid w:val="00270D91"/>
    <w:rsid w:val="0027234F"/>
    <w:rsid w:val="00272A03"/>
    <w:rsid w:val="00273559"/>
    <w:rsid w:val="00274228"/>
    <w:rsid w:val="002757A7"/>
    <w:rsid w:val="00275ED2"/>
    <w:rsid w:val="00276BD1"/>
    <w:rsid w:val="00276F31"/>
    <w:rsid w:val="00283AA7"/>
    <w:rsid w:val="002849A1"/>
    <w:rsid w:val="00284DD5"/>
    <w:rsid w:val="002870DE"/>
    <w:rsid w:val="002874B3"/>
    <w:rsid w:val="002904BC"/>
    <w:rsid w:val="002938AD"/>
    <w:rsid w:val="00293D57"/>
    <w:rsid w:val="00295716"/>
    <w:rsid w:val="002A041A"/>
    <w:rsid w:val="002A3309"/>
    <w:rsid w:val="002A54DF"/>
    <w:rsid w:val="002A5A9B"/>
    <w:rsid w:val="002B16DB"/>
    <w:rsid w:val="002B1E72"/>
    <w:rsid w:val="002B3F79"/>
    <w:rsid w:val="002B5BC7"/>
    <w:rsid w:val="002B7DD2"/>
    <w:rsid w:val="002C2C72"/>
    <w:rsid w:val="002C330C"/>
    <w:rsid w:val="002C50A2"/>
    <w:rsid w:val="002D00BD"/>
    <w:rsid w:val="002D08D6"/>
    <w:rsid w:val="002D28D1"/>
    <w:rsid w:val="002D2927"/>
    <w:rsid w:val="002D50BC"/>
    <w:rsid w:val="002D55B3"/>
    <w:rsid w:val="002D742B"/>
    <w:rsid w:val="002D7608"/>
    <w:rsid w:val="002E0783"/>
    <w:rsid w:val="002E3F39"/>
    <w:rsid w:val="002E613E"/>
    <w:rsid w:val="002F0FE2"/>
    <w:rsid w:val="002F4412"/>
    <w:rsid w:val="002F49E6"/>
    <w:rsid w:val="003001BF"/>
    <w:rsid w:val="003024B8"/>
    <w:rsid w:val="003026CE"/>
    <w:rsid w:val="00303C44"/>
    <w:rsid w:val="00306D34"/>
    <w:rsid w:val="00307A5D"/>
    <w:rsid w:val="003104E7"/>
    <w:rsid w:val="00312615"/>
    <w:rsid w:val="00313ED2"/>
    <w:rsid w:val="00314049"/>
    <w:rsid w:val="003153D3"/>
    <w:rsid w:val="00316378"/>
    <w:rsid w:val="00316BFC"/>
    <w:rsid w:val="003213F1"/>
    <w:rsid w:val="003213F3"/>
    <w:rsid w:val="0032269F"/>
    <w:rsid w:val="0032275F"/>
    <w:rsid w:val="00322F00"/>
    <w:rsid w:val="00324023"/>
    <w:rsid w:val="003258FF"/>
    <w:rsid w:val="00326ABC"/>
    <w:rsid w:val="0033063C"/>
    <w:rsid w:val="0033154F"/>
    <w:rsid w:val="00331BEB"/>
    <w:rsid w:val="0033267F"/>
    <w:rsid w:val="0033678A"/>
    <w:rsid w:val="00336D6A"/>
    <w:rsid w:val="003445E9"/>
    <w:rsid w:val="00344CEE"/>
    <w:rsid w:val="0034511D"/>
    <w:rsid w:val="00346D79"/>
    <w:rsid w:val="00347850"/>
    <w:rsid w:val="003503A8"/>
    <w:rsid w:val="00353936"/>
    <w:rsid w:val="00357AE5"/>
    <w:rsid w:val="00357C2A"/>
    <w:rsid w:val="00364882"/>
    <w:rsid w:val="003665FF"/>
    <w:rsid w:val="00370915"/>
    <w:rsid w:val="00370C07"/>
    <w:rsid w:val="00372F5C"/>
    <w:rsid w:val="0037434A"/>
    <w:rsid w:val="0037655F"/>
    <w:rsid w:val="00377317"/>
    <w:rsid w:val="003806AF"/>
    <w:rsid w:val="00381CC9"/>
    <w:rsid w:val="00386E06"/>
    <w:rsid w:val="003877CC"/>
    <w:rsid w:val="003906AB"/>
    <w:rsid w:val="00392974"/>
    <w:rsid w:val="00393116"/>
    <w:rsid w:val="0039470D"/>
    <w:rsid w:val="003A04D3"/>
    <w:rsid w:val="003A1CE6"/>
    <w:rsid w:val="003A525A"/>
    <w:rsid w:val="003B2635"/>
    <w:rsid w:val="003B2C9F"/>
    <w:rsid w:val="003B3508"/>
    <w:rsid w:val="003B4596"/>
    <w:rsid w:val="003B6477"/>
    <w:rsid w:val="003B79BC"/>
    <w:rsid w:val="003C10A5"/>
    <w:rsid w:val="003C19A6"/>
    <w:rsid w:val="003D4759"/>
    <w:rsid w:val="003D47C5"/>
    <w:rsid w:val="003D50D3"/>
    <w:rsid w:val="003D6402"/>
    <w:rsid w:val="003D730F"/>
    <w:rsid w:val="003D7DC7"/>
    <w:rsid w:val="003E3C54"/>
    <w:rsid w:val="003E4FED"/>
    <w:rsid w:val="003F0848"/>
    <w:rsid w:val="003F09ED"/>
    <w:rsid w:val="003F18BC"/>
    <w:rsid w:val="003F4288"/>
    <w:rsid w:val="00400C06"/>
    <w:rsid w:val="00401297"/>
    <w:rsid w:val="00401D04"/>
    <w:rsid w:val="004031B0"/>
    <w:rsid w:val="00404742"/>
    <w:rsid w:val="0040660B"/>
    <w:rsid w:val="004071D8"/>
    <w:rsid w:val="004114E5"/>
    <w:rsid w:val="004116AF"/>
    <w:rsid w:val="00412478"/>
    <w:rsid w:val="00412D3D"/>
    <w:rsid w:val="00412D8F"/>
    <w:rsid w:val="004131A1"/>
    <w:rsid w:val="004147F2"/>
    <w:rsid w:val="0041673E"/>
    <w:rsid w:val="00416AB3"/>
    <w:rsid w:val="00417151"/>
    <w:rsid w:val="00420B22"/>
    <w:rsid w:val="00421585"/>
    <w:rsid w:val="00421C66"/>
    <w:rsid w:val="00422A5C"/>
    <w:rsid w:val="004250F6"/>
    <w:rsid w:val="004260E9"/>
    <w:rsid w:val="0042682D"/>
    <w:rsid w:val="0043201A"/>
    <w:rsid w:val="0043536B"/>
    <w:rsid w:val="00436F06"/>
    <w:rsid w:val="00441D37"/>
    <w:rsid w:val="00442E9D"/>
    <w:rsid w:val="004441B4"/>
    <w:rsid w:val="00445A35"/>
    <w:rsid w:val="0044626A"/>
    <w:rsid w:val="00446567"/>
    <w:rsid w:val="004473BC"/>
    <w:rsid w:val="00450C20"/>
    <w:rsid w:val="00452B79"/>
    <w:rsid w:val="00453BFA"/>
    <w:rsid w:val="00465C22"/>
    <w:rsid w:val="004666A4"/>
    <w:rsid w:val="004672B0"/>
    <w:rsid w:val="0046789B"/>
    <w:rsid w:val="00474F1F"/>
    <w:rsid w:val="004759A4"/>
    <w:rsid w:val="00477AC0"/>
    <w:rsid w:val="00480D47"/>
    <w:rsid w:val="004814B1"/>
    <w:rsid w:val="00481520"/>
    <w:rsid w:val="004833EB"/>
    <w:rsid w:val="00484A33"/>
    <w:rsid w:val="00484D3E"/>
    <w:rsid w:val="0048529E"/>
    <w:rsid w:val="004873F3"/>
    <w:rsid w:val="00487F05"/>
    <w:rsid w:val="00487FE7"/>
    <w:rsid w:val="0049084A"/>
    <w:rsid w:val="00490D58"/>
    <w:rsid w:val="004921B6"/>
    <w:rsid w:val="00494B63"/>
    <w:rsid w:val="00494D1D"/>
    <w:rsid w:val="004965D3"/>
    <w:rsid w:val="004971FD"/>
    <w:rsid w:val="004A1378"/>
    <w:rsid w:val="004A5564"/>
    <w:rsid w:val="004A5C82"/>
    <w:rsid w:val="004A5E21"/>
    <w:rsid w:val="004A7929"/>
    <w:rsid w:val="004B2281"/>
    <w:rsid w:val="004B23D1"/>
    <w:rsid w:val="004B2E5B"/>
    <w:rsid w:val="004B48D8"/>
    <w:rsid w:val="004B4C8A"/>
    <w:rsid w:val="004B53A4"/>
    <w:rsid w:val="004B5ACD"/>
    <w:rsid w:val="004B6D2E"/>
    <w:rsid w:val="004B73B2"/>
    <w:rsid w:val="004B7533"/>
    <w:rsid w:val="004C0B7E"/>
    <w:rsid w:val="004C3794"/>
    <w:rsid w:val="004C3F5C"/>
    <w:rsid w:val="004C7AE3"/>
    <w:rsid w:val="004D16AA"/>
    <w:rsid w:val="004D1DDA"/>
    <w:rsid w:val="004D2FD0"/>
    <w:rsid w:val="004D7398"/>
    <w:rsid w:val="004E0C38"/>
    <w:rsid w:val="004E35A1"/>
    <w:rsid w:val="004E4957"/>
    <w:rsid w:val="004E5B7B"/>
    <w:rsid w:val="004F1906"/>
    <w:rsid w:val="004F2107"/>
    <w:rsid w:val="004F2C10"/>
    <w:rsid w:val="004F40EA"/>
    <w:rsid w:val="004F5BEA"/>
    <w:rsid w:val="004F6B86"/>
    <w:rsid w:val="004F7C23"/>
    <w:rsid w:val="00500EB9"/>
    <w:rsid w:val="0050135B"/>
    <w:rsid w:val="00501781"/>
    <w:rsid w:val="005070F6"/>
    <w:rsid w:val="005119CE"/>
    <w:rsid w:val="0051436C"/>
    <w:rsid w:val="00514D3A"/>
    <w:rsid w:val="00520BE8"/>
    <w:rsid w:val="00521BA6"/>
    <w:rsid w:val="00521EBE"/>
    <w:rsid w:val="0052237B"/>
    <w:rsid w:val="00524635"/>
    <w:rsid w:val="005254F5"/>
    <w:rsid w:val="00525792"/>
    <w:rsid w:val="00525FAB"/>
    <w:rsid w:val="00526117"/>
    <w:rsid w:val="00530F1E"/>
    <w:rsid w:val="0053111A"/>
    <w:rsid w:val="005326FC"/>
    <w:rsid w:val="00534B49"/>
    <w:rsid w:val="00534CFA"/>
    <w:rsid w:val="00534DC4"/>
    <w:rsid w:val="0053549F"/>
    <w:rsid w:val="005366B0"/>
    <w:rsid w:val="005378C9"/>
    <w:rsid w:val="00542D6D"/>
    <w:rsid w:val="0054700E"/>
    <w:rsid w:val="0054722A"/>
    <w:rsid w:val="00547971"/>
    <w:rsid w:val="00547F95"/>
    <w:rsid w:val="00551ECE"/>
    <w:rsid w:val="0055241A"/>
    <w:rsid w:val="005624D1"/>
    <w:rsid w:val="005649DD"/>
    <w:rsid w:val="005652F0"/>
    <w:rsid w:val="005731F1"/>
    <w:rsid w:val="005753CD"/>
    <w:rsid w:val="005831D6"/>
    <w:rsid w:val="0058414D"/>
    <w:rsid w:val="005853D2"/>
    <w:rsid w:val="005874E3"/>
    <w:rsid w:val="00587C82"/>
    <w:rsid w:val="00592EFC"/>
    <w:rsid w:val="00594CC3"/>
    <w:rsid w:val="005965B0"/>
    <w:rsid w:val="005A07C3"/>
    <w:rsid w:val="005A1AF4"/>
    <w:rsid w:val="005A2CFD"/>
    <w:rsid w:val="005A45D8"/>
    <w:rsid w:val="005A5B65"/>
    <w:rsid w:val="005B30A9"/>
    <w:rsid w:val="005B3551"/>
    <w:rsid w:val="005B4F25"/>
    <w:rsid w:val="005B639F"/>
    <w:rsid w:val="005B6F20"/>
    <w:rsid w:val="005C0626"/>
    <w:rsid w:val="005C33A9"/>
    <w:rsid w:val="005C409A"/>
    <w:rsid w:val="005C5110"/>
    <w:rsid w:val="005C5946"/>
    <w:rsid w:val="005C59E1"/>
    <w:rsid w:val="005C70DE"/>
    <w:rsid w:val="005D150E"/>
    <w:rsid w:val="005D26BA"/>
    <w:rsid w:val="005D2F44"/>
    <w:rsid w:val="005D3C3B"/>
    <w:rsid w:val="005D5943"/>
    <w:rsid w:val="005E3EAC"/>
    <w:rsid w:val="005E43C3"/>
    <w:rsid w:val="005E5433"/>
    <w:rsid w:val="005E58D5"/>
    <w:rsid w:val="005E774C"/>
    <w:rsid w:val="005F19BA"/>
    <w:rsid w:val="005F389F"/>
    <w:rsid w:val="005F3A17"/>
    <w:rsid w:val="005F41C9"/>
    <w:rsid w:val="005F61BE"/>
    <w:rsid w:val="005F62DF"/>
    <w:rsid w:val="005F6D7E"/>
    <w:rsid w:val="006007C6"/>
    <w:rsid w:val="0060382D"/>
    <w:rsid w:val="00605350"/>
    <w:rsid w:val="006055D0"/>
    <w:rsid w:val="0060741C"/>
    <w:rsid w:val="0060754C"/>
    <w:rsid w:val="00607D0B"/>
    <w:rsid w:val="0061022A"/>
    <w:rsid w:val="0061151D"/>
    <w:rsid w:val="0061194E"/>
    <w:rsid w:val="0061466D"/>
    <w:rsid w:val="006178DE"/>
    <w:rsid w:val="00620268"/>
    <w:rsid w:val="00626D0E"/>
    <w:rsid w:val="00634567"/>
    <w:rsid w:val="00635B8D"/>
    <w:rsid w:val="00640356"/>
    <w:rsid w:val="006428BC"/>
    <w:rsid w:val="006430CE"/>
    <w:rsid w:val="006464FF"/>
    <w:rsid w:val="00646717"/>
    <w:rsid w:val="00650E78"/>
    <w:rsid w:val="00652B2C"/>
    <w:rsid w:val="00652F17"/>
    <w:rsid w:val="00653BE5"/>
    <w:rsid w:val="00653E9B"/>
    <w:rsid w:val="00655C6F"/>
    <w:rsid w:val="00656FDC"/>
    <w:rsid w:val="006578DF"/>
    <w:rsid w:val="006604EC"/>
    <w:rsid w:val="00661989"/>
    <w:rsid w:val="006621FA"/>
    <w:rsid w:val="00665400"/>
    <w:rsid w:val="006661A0"/>
    <w:rsid w:val="006677DE"/>
    <w:rsid w:val="00671852"/>
    <w:rsid w:val="00677805"/>
    <w:rsid w:val="006802C3"/>
    <w:rsid w:val="00682362"/>
    <w:rsid w:val="00685078"/>
    <w:rsid w:val="00686809"/>
    <w:rsid w:val="00690168"/>
    <w:rsid w:val="00691848"/>
    <w:rsid w:val="00692FD1"/>
    <w:rsid w:val="0069331C"/>
    <w:rsid w:val="00694780"/>
    <w:rsid w:val="00697532"/>
    <w:rsid w:val="006A12C7"/>
    <w:rsid w:val="006A2C3E"/>
    <w:rsid w:val="006A3BA2"/>
    <w:rsid w:val="006A7232"/>
    <w:rsid w:val="006A72FD"/>
    <w:rsid w:val="006A7E07"/>
    <w:rsid w:val="006B023B"/>
    <w:rsid w:val="006B06A8"/>
    <w:rsid w:val="006B1417"/>
    <w:rsid w:val="006B18BC"/>
    <w:rsid w:val="006B2BAE"/>
    <w:rsid w:val="006B3ECE"/>
    <w:rsid w:val="006B7AF7"/>
    <w:rsid w:val="006C1CFD"/>
    <w:rsid w:val="006C3C84"/>
    <w:rsid w:val="006C4595"/>
    <w:rsid w:val="006C612B"/>
    <w:rsid w:val="006C6828"/>
    <w:rsid w:val="006D03BC"/>
    <w:rsid w:val="006D49AB"/>
    <w:rsid w:val="006D4E63"/>
    <w:rsid w:val="006D50CD"/>
    <w:rsid w:val="006D5CF3"/>
    <w:rsid w:val="006D6C6D"/>
    <w:rsid w:val="006D7E5B"/>
    <w:rsid w:val="006E0865"/>
    <w:rsid w:val="006E42D9"/>
    <w:rsid w:val="006E53CE"/>
    <w:rsid w:val="006E5C8F"/>
    <w:rsid w:val="006F0E03"/>
    <w:rsid w:val="006F1115"/>
    <w:rsid w:val="006F377C"/>
    <w:rsid w:val="006F4399"/>
    <w:rsid w:val="006F69D9"/>
    <w:rsid w:val="006F7620"/>
    <w:rsid w:val="006F7CCE"/>
    <w:rsid w:val="00701827"/>
    <w:rsid w:val="00701E16"/>
    <w:rsid w:val="007030DB"/>
    <w:rsid w:val="00703A24"/>
    <w:rsid w:val="00704C5F"/>
    <w:rsid w:val="0070722B"/>
    <w:rsid w:val="00707627"/>
    <w:rsid w:val="00710600"/>
    <w:rsid w:val="00712860"/>
    <w:rsid w:val="00712B38"/>
    <w:rsid w:val="00713093"/>
    <w:rsid w:val="00713854"/>
    <w:rsid w:val="00713EAC"/>
    <w:rsid w:val="0071462B"/>
    <w:rsid w:val="00714B82"/>
    <w:rsid w:val="0071758A"/>
    <w:rsid w:val="00722284"/>
    <w:rsid w:val="00724277"/>
    <w:rsid w:val="0072439E"/>
    <w:rsid w:val="00725B52"/>
    <w:rsid w:val="00725E35"/>
    <w:rsid w:val="007278B5"/>
    <w:rsid w:val="0073062E"/>
    <w:rsid w:val="00732A04"/>
    <w:rsid w:val="007414A0"/>
    <w:rsid w:val="00741D7B"/>
    <w:rsid w:val="00741F92"/>
    <w:rsid w:val="007423F0"/>
    <w:rsid w:val="007438FB"/>
    <w:rsid w:val="00743DD4"/>
    <w:rsid w:val="007452F3"/>
    <w:rsid w:val="007463F2"/>
    <w:rsid w:val="00746A91"/>
    <w:rsid w:val="00746FC1"/>
    <w:rsid w:val="00750A0F"/>
    <w:rsid w:val="0075285F"/>
    <w:rsid w:val="00754D55"/>
    <w:rsid w:val="00757208"/>
    <w:rsid w:val="0076224C"/>
    <w:rsid w:val="007628BB"/>
    <w:rsid w:val="00762E95"/>
    <w:rsid w:val="0076627B"/>
    <w:rsid w:val="00766FBE"/>
    <w:rsid w:val="00767145"/>
    <w:rsid w:val="00767504"/>
    <w:rsid w:val="00770189"/>
    <w:rsid w:val="007711DD"/>
    <w:rsid w:val="007716F3"/>
    <w:rsid w:val="007717C2"/>
    <w:rsid w:val="00772045"/>
    <w:rsid w:val="00776903"/>
    <w:rsid w:val="00777F45"/>
    <w:rsid w:val="007815AD"/>
    <w:rsid w:val="007823D5"/>
    <w:rsid w:val="00782DA8"/>
    <w:rsid w:val="00783366"/>
    <w:rsid w:val="007849BA"/>
    <w:rsid w:val="00784A3F"/>
    <w:rsid w:val="00785C80"/>
    <w:rsid w:val="007879A0"/>
    <w:rsid w:val="00790B2C"/>
    <w:rsid w:val="00790C5C"/>
    <w:rsid w:val="007913FC"/>
    <w:rsid w:val="0079149B"/>
    <w:rsid w:val="00791C75"/>
    <w:rsid w:val="00792C84"/>
    <w:rsid w:val="007A0E9C"/>
    <w:rsid w:val="007B4448"/>
    <w:rsid w:val="007B5CCE"/>
    <w:rsid w:val="007B77EF"/>
    <w:rsid w:val="007C23EE"/>
    <w:rsid w:val="007C2A9F"/>
    <w:rsid w:val="007C457E"/>
    <w:rsid w:val="007C4BE0"/>
    <w:rsid w:val="007C5FC4"/>
    <w:rsid w:val="007C66E5"/>
    <w:rsid w:val="007C7576"/>
    <w:rsid w:val="007D4A2D"/>
    <w:rsid w:val="007E0518"/>
    <w:rsid w:val="007E0647"/>
    <w:rsid w:val="007E4554"/>
    <w:rsid w:val="007E4A2E"/>
    <w:rsid w:val="007E4F75"/>
    <w:rsid w:val="007F01EB"/>
    <w:rsid w:val="007F13D5"/>
    <w:rsid w:val="007F198A"/>
    <w:rsid w:val="007F1C97"/>
    <w:rsid w:val="007F3528"/>
    <w:rsid w:val="007F39C1"/>
    <w:rsid w:val="007F424D"/>
    <w:rsid w:val="007F5C4C"/>
    <w:rsid w:val="007F7119"/>
    <w:rsid w:val="007F7C33"/>
    <w:rsid w:val="00803CE3"/>
    <w:rsid w:val="00805324"/>
    <w:rsid w:val="00807D43"/>
    <w:rsid w:val="0081555E"/>
    <w:rsid w:val="00816F1D"/>
    <w:rsid w:val="0082011A"/>
    <w:rsid w:val="00824CC1"/>
    <w:rsid w:val="008252BB"/>
    <w:rsid w:val="00826A22"/>
    <w:rsid w:val="00826AEA"/>
    <w:rsid w:val="00831ACC"/>
    <w:rsid w:val="0083376E"/>
    <w:rsid w:val="008337D8"/>
    <w:rsid w:val="008362ED"/>
    <w:rsid w:val="00837554"/>
    <w:rsid w:val="008403F9"/>
    <w:rsid w:val="00842EFB"/>
    <w:rsid w:val="00844500"/>
    <w:rsid w:val="0084488A"/>
    <w:rsid w:val="008457F7"/>
    <w:rsid w:val="008469BB"/>
    <w:rsid w:val="00846C6F"/>
    <w:rsid w:val="00847429"/>
    <w:rsid w:val="0085083D"/>
    <w:rsid w:val="00850D01"/>
    <w:rsid w:val="00856071"/>
    <w:rsid w:val="00857D99"/>
    <w:rsid w:val="00860EBB"/>
    <w:rsid w:val="00863506"/>
    <w:rsid w:val="00863E86"/>
    <w:rsid w:val="00864FA4"/>
    <w:rsid w:val="008653F8"/>
    <w:rsid w:val="00866FE3"/>
    <w:rsid w:val="008718E0"/>
    <w:rsid w:val="00871A23"/>
    <w:rsid w:val="00871F4C"/>
    <w:rsid w:val="00872654"/>
    <w:rsid w:val="00872D27"/>
    <w:rsid w:val="00873CB5"/>
    <w:rsid w:val="00876AA6"/>
    <w:rsid w:val="0087769B"/>
    <w:rsid w:val="00881E69"/>
    <w:rsid w:val="00882BC0"/>
    <w:rsid w:val="00886026"/>
    <w:rsid w:val="0088668E"/>
    <w:rsid w:val="00887B68"/>
    <w:rsid w:val="00887BF4"/>
    <w:rsid w:val="00887F3C"/>
    <w:rsid w:val="00891B33"/>
    <w:rsid w:val="008925B8"/>
    <w:rsid w:val="00892710"/>
    <w:rsid w:val="008927AC"/>
    <w:rsid w:val="00893E1E"/>
    <w:rsid w:val="00895B38"/>
    <w:rsid w:val="008970FA"/>
    <w:rsid w:val="008A162F"/>
    <w:rsid w:val="008A1829"/>
    <w:rsid w:val="008A4022"/>
    <w:rsid w:val="008A7F92"/>
    <w:rsid w:val="008B1CE6"/>
    <w:rsid w:val="008B1DB9"/>
    <w:rsid w:val="008B2B11"/>
    <w:rsid w:val="008B40C0"/>
    <w:rsid w:val="008B6242"/>
    <w:rsid w:val="008B633F"/>
    <w:rsid w:val="008C0CF7"/>
    <w:rsid w:val="008C24B6"/>
    <w:rsid w:val="008C2CD2"/>
    <w:rsid w:val="008C4980"/>
    <w:rsid w:val="008C6E48"/>
    <w:rsid w:val="008C7303"/>
    <w:rsid w:val="008D2AA2"/>
    <w:rsid w:val="008D3D55"/>
    <w:rsid w:val="008D50B6"/>
    <w:rsid w:val="008D6383"/>
    <w:rsid w:val="008E3055"/>
    <w:rsid w:val="008E3D82"/>
    <w:rsid w:val="008E49B5"/>
    <w:rsid w:val="008E4C8A"/>
    <w:rsid w:val="008E5E5D"/>
    <w:rsid w:val="008E60EE"/>
    <w:rsid w:val="008F0E17"/>
    <w:rsid w:val="008F12D4"/>
    <w:rsid w:val="008F25FB"/>
    <w:rsid w:val="008F41D7"/>
    <w:rsid w:val="008F4C1B"/>
    <w:rsid w:val="008F5731"/>
    <w:rsid w:val="008F5E67"/>
    <w:rsid w:val="008F74FA"/>
    <w:rsid w:val="008F7518"/>
    <w:rsid w:val="00900D84"/>
    <w:rsid w:val="0091041D"/>
    <w:rsid w:val="009118DF"/>
    <w:rsid w:val="00913C93"/>
    <w:rsid w:val="00916136"/>
    <w:rsid w:val="009174CD"/>
    <w:rsid w:val="00917A05"/>
    <w:rsid w:val="00921FCD"/>
    <w:rsid w:val="00924D66"/>
    <w:rsid w:val="00925FB2"/>
    <w:rsid w:val="00927B43"/>
    <w:rsid w:val="00930386"/>
    <w:rsid w:val="00930C71"/>
    <w:rsid w:val="00930F26"/>
    <w:rsid w:val="009359D6"/>
    <w:rsid w:val="009364E5"/>
    <w:rsid w:val="009370C6"/>
    <w:rsid w:val="0094072D"/>
    <w:rsid w:val="0094203D"/>
    <w:rsid w:val="00942F18"/>
    <w:rsid w:val="00943629"/>
    <w:rsid w:val="009438FF"/>
    <w:rsid w:val="00943E3E"/>
    <w:rsid w:val="00944847"/>
    <w:rsid w:val="00944B7C"/>
    <w:rsid w:val="00945C33"/>
    <w:rsid w:val="009470CE"/>
    <w:rsid w:val="009509C6"/>
    <w:rsid w:val="00953E7A"/>
    <w:rsid w:val="00956EC9"/>
    <w:rsid w:val="009577E6"/>
    <w:rsid w:val="00963452"/>
    <w:rsid w:val="00965256"/>
    <w:rsid w:val="0096635C"/>
    <w:rsid w:val="009665DC"/>
    <w:rsid w:val="00966AA5"/>
    <w:rsid w:val="00967289"/>
    <w:rsid w:val="0096744F"/>
    <w:rsid w:val="00970E84"/>
    <w:rsid w:val="0097119B"/>
    <w:rsid w:val="00971887"/>
    <w:rsid w:val="00973A4F"/>
    <w:rsid w:val="00974F8D"/>
    <w:rsid w:val="00975261"/>
    <w:rsid w:val="00982DD6"/>
    <w:rsid w:val="009852E1"/>
    <w:rsid w:val="00986D38"/>
    <w:rsid w:val="009919B2"/>
    <w:rsid w:val="00991BF1"/>
    <w:rsid w:val="00992445"/>
    <w:rsid w:val="009969C9"/>
    <w:rsid w:val="009A030D"/>
    <w:rsid w:val="009A4A48"/>
    <w:rsid w:val="009A4AA6"/>
    <w:rsid w:val="009A65F6"/>
    <w:rsid w:val="009A6665"/>
    <w:rsid w:val="009B13FE"/>
    <w:rsid w:val="009B1ED0"/>
    <w:rsid w:val="009B27B8"/>
    <w:rsid w:val="009B2BC2"/>
    <w:rsid w:val="009B2CDE"/>
    <w:rsid w:val="009B331B"/>
    <w:rsid w:val="009B36B9"/>
    <w:rsid w:val="009B7758"/>
    <w:rsid w:val="009C280D"/>
    <w:rsid w:val="009C2F01"/>
    <w:rsid w:val="009C32E7"/>
    <w:rsid w:val="009C41A1"/>
    <w:rsid w:val="009C4F3B"/>
    <w:rsid w:val="009C6A89"/>
    <w:rsid w:val="009C6AD9"/>
    <w:rsid w:val="009C7624"/>
    <w:rsid w:val="009C7B31"/>
    <w:rsid w:val="009D07DF"/>
    <w:rsid w:val="009D0CAD"/>
    <w:rsid w:val="009D1424"/>
    <w:rsid w:val="009D3134"/>
    <w:rsid w:val="009D382A"/>
    <w:rsid w:val="009D3C90"/>
    <w:rsid w:val="009D48EB"/>
    <w:rsid w:val="009D6BF9"/>
    <w:rsid w:val="009E0291"/>
    <w:rsid w:val="009E04C9"/>
    <w:rsid w:val="009E31D9"/>
    <w:rsid w:val="009E42A8"/>
    <w:rsid w:val="009E49BC"/>
    <w:rsid w:val="009E6989"/>
    <w:rsid w:val="009F43EA"/>
    <w:rsid w:val="009F6C1D"/>
    <w:rsid w:val="009F765D"/>
    <w:rsid w:val="009F7B7C"/>
    <w:rsid w:val="00A004B1"/>
    <w:rsid w:val="00A0371A"/>
    <w:rsid w:val="00A05061"/>
    <w:rsid w:val="00A06037"/>
    <w:rsid w:val="00A1099A"/>
    <w:rsid w:val="00A143D1"/>
    <w:rsid w:val="00A148E5"/>
    <w:rsid w:val="00A149F8"/>
    <w:rsid w:val="00A16FD4"/>
    <w:rsid w:val="00A17824"/>
    <w:rsid w:val="00A17CBF"/>
    <w:rsid w:val="00A17D08"/>
    <w:rsid w:val="00A2065E"/>
    <w:rsid w:val="00A20E0E"/>
    <w:rsid w:val="00A223F8"/>
    <w:rsid w:val="00A23187"/>
    <w:rsid w:val="00A23590"/>
    <w:rsid w:val="00A23875"/>
    <w:rsid w:val="00A25654"/>
    <w:rsid w:val="00A26312"/>
    <w:rsid w:val="00A34231"/>
    <w:rsid w:val="00A3426C"/>
    <w:rsid w:val="00A370C8"/>
    <w:rsid w:val="00A40586"/>
    <w:rsid w:val="00A417E6"/>
    <w:rsid w:val="00A42621"/>
    <w:rsid w:val="00A52038"/>
    <w:rsid w:val="00A54A77"/>
    <w:rsid w:val="00A5525A"/>
    <w:rsid w:val="00A56B7A"/>
    <w:rsid w:val="00A57983"/>
    <w:rsid w:val="00A6243D"/>
    <w:rsid w:val="00A62EEC"/>
    <w:rsid w:val="00A64438"/>
    <w:rsid w:val="00A64669"/>
    <w:rsid w:val="00A6629B"/>
    <w:rsid w:val="00A67274"/>
    <w:rsid w:val="00A67910"/>
    <w:rsid w:val="00A67C4A"/>
    <w:rsid w:val="00A717E2"/>
    <w:rsid w:val="00A743B4"/>
    <w:rsid w:val="00A76EB7"/>
    <w:rsid w:val="00A76F44"/>
    <w:rsid w:val="00A852A3"/>
    <w:rsid w:val="00A87361"/>
    <w:rsid w:val="00A875DB"/>
    <w:rsid w:val="00A87D6A"/>
    <w:rsid w:val="00A94CED"/>
    <w:rsid w:val="00A94E45"/>
    <w:rsid w:val="00A954C6"/>
    <w:rsid w:val="00A955FD"/>
    <w:rsid w:val="00A96BE3"/>
    <w:rsid w:val="00A97BB5"/>
    <w:rsid w:val="00A97D37"/>
    <w:rsid w:val="00AA120D"/>
    <w:rsid w:val="00AA3270"/>
    <w:rsid w:val="00AA3C9D"/>
    <w:rsid w:val="00AB029E"/>
    <w:rsid w:val="00AB511B"/>
    <w:rsid w:val="00AB561C"/>
    <w:rsid w:val="00AB586B"/>
    <w:rsid w:val="00AB58A2"/>
    <w:rsid w:val="00AB58BF"/>
    <w:rsid w:val="00AB61BA"/>
    <w:rsid w:val="00AB6752"/>
    <w:rsid w:val="00AC3564"/>
    <w:rsid w:val="00AC4829"/>
    <w:rsid w:val="00AC495D"/>
    <w:rsid w:val="00AC5D81"/>
    <w:rsid w:val="00AC68BB"/>
    <w:rsid w:val="00AC6D4D"/>
    <w:rsid w:val="00AD0D23"/>
    <w:rsid w:val="00AD434C"/>
    <w:rsid w:val="00AD6140"/>
    <w:rsid w:val="00AE2AA6"/>
    <w:rsid w:val="00AE36FC"/>
    <w:rsid w:val="00AE60AF"/>
    <w:rsid w:val="00AE7E2A"/>
    <w:rsid w:val="00AF4126"/>
    <w:rsid w:val="00AF4A2B"/>
    <w:rsid w:val="00B002D3"/>
    <w:rsid w:val="00B005D0"/>
    <w:rsid w:val="00B01911"/>
    <w:rsid w:val="00B04692"/>
    <w:rsid w:val="00B0469A"/>
    <w:rsid w:val="00B04A9E"/>
    <w:rsid w:val="00B05BA1"/>
    <w:rsid w:val="00B0610A"/>
    <w:rsid w:val="00B0617C"/>
    <w:rsid w:val="00B06246"/>
    <w:rsid w:val="00B06F7E"/>
    <w:rsid w:val="00B072DF"/>
    <w:rsid w:val="00B13320"/>
    <w:rsid w:val="00B1357E"/>
    <w:rsid w:val="00B14159"/>
    <w:rsid w:val="00B14705"/>
    <w:rsid w:val="00B1534A"/>
    <w:rsid w:val="00B172DB"/>
    <w:rsid w:val="00B17B81"/>
    <w:rsid w:val="00B2027B"/>
    <w:rsid w:val="00B20A21"/>
    <w:rsid w:val="00B24198"/>
    <w:rsid w:val="00B2437A"/>
    <w:rsid w:val="00B248A9"/>
    <w:rsid w:val="00B263FD"/>
    <w:rsid w:val="00B2794C"/>
    <w:rsid w:val="00B311F2"/>
    <w:rsid w:val="00B317EA"/>
    <w:rsid w:val="00B33FF9"/>
    <w:rsid w:val="00B37795"/>
    <w:rsid w:val="00B40253"/>
    <w:rsid w:val="00B40376"/>
    <w:rsid w:val="00B41069"/>
    <w:rsid w:val="00B41C90"/>
    <w:rsid w:val="00B42FA0"/>
    <w:rsid w:val="00B43664"/>
    <w:rsid w:val="00B43F78"/>
    <w:rsid w:val="00B462DD"/>
    <w:rsid w:val="00B52269"/>
    <w:rsid w:val="00B52957"/>
    <w:rsid w:val="00B55B87"/>
    <w:rsid w:val="00B5618D"/>
    <w:rsid w:val="00B56E1E"/>
    <w:rsid w:val="00B6071A"/>
    <w:rsid w:val="00B611D1"/>
    <w:rsid w:val="00B61AE1"/>
    <w:rsid w:val="00B621F2"/>
    <w:rsid w:val="00B64023"/>
    <w:rsid w:val="00B65790"/>
    <w:rsid w:val="00B6630D"/>
    <w:rsid w:val="00B6641B"/>
    <w:rsid w:val="00B72B7D"/>
    <w:rsid w:val="00B73C13"/>
    <w:rsid w:val="00B73C77"/>
    <w:rsid w:val="00B74C95"/>
    <w:rsid w:val="00B7506C"/>
    <w:rsid w:val="00B80FCF"/>
    <w:rsid w:val="00B818DF"/>
    <w:rsid w:val="00B82AD5"/>
    <w:rsid w:val="00B8398A"/>
    <w:rsid w:val="00B8435F"/>
    <w:rsid w:val="00B84F31"/>
    <w:rsid w:val="00B86ABC"/>
    <w:rsid w:val="00B904E4"/>
    <w:rsid w:val="00B91E93"/>
    <w:rsid w:val="00B92F99"/>
    <w:rsid w:val="00B961F8"/>
    <w:rsid w:val="00B97231"/>
    <w:rsid w:val="00B97484"/>
    <w:rsid w:val="00BA308C"/>
    <w:rsid w:val="00BA33D4"/>
    <w:rsid w:val="00BA38F3"/>
    <w:rsid w:val="00BA45B3"/>
    <w:rsid w:val="00BA5816"/>
    <w:rsid w:val="00BA750D"/>
    <w:rsid w:val="00BA7E13"/>
    <w:rsid w:val="00BB04DE"/>
    <w:rsid w:val="00BB0A11"/>
    <w:rsid w:val="00BB3FAA"/>
    <w:rsid w:val="00BB5098"/>
    <w:rsid w:val="00BB5278"/>
    <w:rsid w:val="00BB615D"/>
    <w:rsid w:val="00BB6AF6"/>
    <w:rsid w:val="00BC0555"/>
    <w:rsid w:val="00BC713B"/>
    <w:rsid w:val="00BD05E2"/>
    <w:rsid w:val="00BD0D96"/>
    <w:rsid w:val="00BD1A25"/>
    <w:rsid w:val="00BD2FFE"/>
    <w:rsid w:val="00BD3024"/>
    <w:rsid w:val="00BD642F"/>
    <w:rsid w:val="00BD6563"/>
    <w:rsid w:val="00BD6BD7"/>
    <w:rsid w:val="00BD7A5B"/>
    <w:rsid w:val="00BD7E94"/>
    <w:rsid w:val="00BE5D6F"/>
    <w:rsid w:val="00BF24D7"/>
    <w:rsid w:val="00BF2B94"/>
    <w:rsid w:val="00BF712C"/>
    <w:rsid w:val="00BF714D"/>
    <w:rsid w:val="00BF7194"/>
    <w:rsid w:val="00BF798B"/>
    <w:rsid w:val="00C019C1"/>
    <w:rsid w:val="00C01B2A"/>
    <w:rsid w:val="00C027A0"/>
    <w:rsid w:val="00C03FCC"/>
    <w:rsid w:val="00C058F4"/>
    <w:rsid w:val="00C06714"/>
    <w:rsid w:val="00C11039"/>
    <w:rsid w:val="00C1108C"/>
    <w:rsid w:val="00C1153A"/>
    <w:rsid w:val="00C120D0"/>
    <w:rsid w:val="00C12FB5"/>
    <w:rsid w:val="00C1567C"/>
    <w:rsid w:val="00C158F0"/>
    <w:rsid w:val="00C16323"/>
    <w:rsid w:val="00C16A88"/>
    <w:rsid w:val="00C175C7"/>
    <w:rsid w:val="00C177EC"/>
    <w:rsid w:val="00C178FC"/>
    <w:rsid w:val="00C20A70"/>
    <w:rsid w:val="00C21434"/>
    <w:rsid w:val="00C214EA"/>
    <w:rsid w:val="00C22F05"/>
    <w:rsid w:val="00C231ED"/>
    <w:rsid w:val="00C25172"/>
    <w:rsid w:val="00C25B28"/>
    <w:rsid w:val="00C2704C"/>
    <w:rsid w:val="00C2766C"/>
    <w:rsid w:val="00C30D55"/>
    <w:rsid w:val="00C30F27"/>
    <w:rsid w:val="00C315F2"/>
    <w:rsid w:val="00C33A81"/>
    <w:rsid w:val="00C3441D"/>
    <w:rsid w:val="00C346B8"/>
    <w:rsid w:val="00C347B5"/>
    <w:rsid w:val="00C35B54"/>
    <w:rsid w:val="00C35E0C"/>
    <w:rsid w:val="00C36458"/>
    <w:rsid w:val="00C37460"/>
    <w:rsid w:val="00C40133"/>
    <w:rsid w:val="00C40BBB"/>
    <w:rsid w:val="00C41B9F"/>
    <w:rsid w:val="00C4434B"/>
    <w:rsid w:val="00C455B0"/>
    <w:rsid w:val="00C46BD0"/>
    <w:rsid w:val="00C50011"/>
    <w:rsid w:val="00C5052B"/>
    <w:rsid w:val="00C53419"/>
    <w:rsid w:val="00C62F19"/>
    <w:rsid w:val="00C63879"/>
    <w:rsid w:val="00C654A1"/>
    <w:rsid w:val="00C659B4"/>
    <w:rsid w:val="00C66546"/>
    <w:rsid w:val="00C66CD7"/>
    <w:rsid w:val="00C72967"/>
    <w:rsid w:val="00C8036C"/>
    <w:rsid w:val="00C8070A"/>
    <w:rsid w:val="00C80954"/>
    <w:rsid w:val="00C82499"/>
    <w:rsid w:val="00C86193"/>
    <w:rsid w:val="00C8756C"/>
    <w:rsid w:val="00C934D1"/>
    <w:rsid w:val="00C9501C"/>
    <w:rsid w:val="00C9531F"/>
    <w:rsid w:val="00C96689"/>
    <w:rsid w:val="00C9717E"/>
    <w:rsid w:val="00CA46D8"/>
    <w:rsid w:val="00CA62BE"/>
    <w:rsid w:val="00CA6ABA"/>
    <w:rsid w:val="00CA701C"/>
    <w:rsid w:val="00CB1E42"/>
    <w:rsid w:val="00CB2FA4"/>
    <w:rsid w:val="00CB3682"/>
    <w:rsid w:val="00CB3796"/>
    <w:rsid w:val="00CB450C"/>
    <w:rsid w:val="00CB4AB1"/>
    <w:rsid w:val="00CB68A0"/>
    <w:rsid w:val="00CB700A"/>
    <w:rsid w:val="00CB7F00"/>
    <w:rsid w:val="00CC03AE"/>
    <w:rsid w:val="00CC06C0"/>
    <w:rsid w:val="00CC0C08"/>
    <w:rsid w:val="00CC118C"/>
    <w:rsid w:val="00CC210B"/>
    <w:rsid w:val="00CC5447"/>
    <w:rsid w:val="00CD0CFE"/>
    <w:rsid w:val="00CD34A6"/>
    <w:rsid w:val="00CD71AB"/>
    <w:rsid w:val="00CE0ECF"/>
    <w:rsid w:val="00CE23FD"/>
    <w:rsid w:val="00CE3095"/>
    <w:rsid w:val="00CE6CFE"/>
    <w:rsid w:val="00CE72A6"/>
    <w:rsid w:val="00CE747E"/>
    <w:rsid w:val="00CE7FB9"/>
    <w:rsid w:val="00CF2B66"/>
    <w:rsid w:val="00CF34CE"/>
    <w:rsid w:val="00CF510E"/>
    <w:rsid w:val="00CF5778"/>
    <w:rsid w:val="00CF5B68"/>
    <w:rsid w:val="00CF7483"/>
    <w:rsid w:val="00D013A8"/>
    <w:rsid w:val="00D01D55"/>
    <w:rsid w:val="00D0440A"/>
    <w:rsid w:val="00D04CED"/>
    <w:rsid w:val="00D05260"/>
    <w:rsid w:val="00D0748C"/>
    <w:rsid w:val="00D10146"/>
    <w:rsid w:val="00D1059F"/>
    <w:rsid w:val="00D1112E"/>
    <w:rsid w:val="00D111E8"/>
    <w:rsid w:val="00D12AB4"/>
    <w:rsid w:val="00D12ED3"/>
    <w:rsid w:val="00D13BEA"/>
    <w:rsid w:val="00D149DD"/>
    <w:rsid w:val="00D14E74"/>
    <w:rsid w:val="00D15254"/>
    <w:rsid w:val="00D15CB6"/>
    <w:rsid w:val="00D15F3F"/>
    <w:rsid w:val="00D16533"/>
    <w:rsid w:val="00D170C3"/>
    <w:rsid w:val="00D22E8E"/>
    <w:rsid w:val="00D23D5D"/>
    <w:rsid w:val="00D240A6"/>
    <w:rsid w:val="00D24304"/>
    <w:rsid w:val="00D24E43"/>
    <w:rsid w:val="00D26528"/>
    <w:rsid w:val="00D2704D"/>
    <w:rsid w:val="00D2747D"/>
    <w:rsid w:val="00D33142"/>
    <w:rsid w:val="00D36AE4"/>
    <w:rsid w:val="00D409E4"/>
    <w:rsid w:val="00D4442A"/>
    <w:rsid w:val="00D45899"/>
    <w:rsid w:val="00D45FF0"/>
    <w:rsid w:val="00D4693E"/>
    <w:rsid w:val="00D46D2F"/>
    <w:rsid w:val="00D46FD0"/>
    <w:rsid w:val="00D476E7"/>
    <w:rsid w:val="00D47D75"/>
    <w:rsid w:val="00D50D0E"/>
    <w:rsid w:val="00D50E35"/>
    <w:rsid w:val="00D52201"/>
    <w:rsid w:val="00D52BF9"/>
    <w:rsid w:val="00D532D1"/>
    <w:rsid w:val="00D53740"/>
    <w:rsid w:val="00D53D07"/>
    <w:rsid w:val="00D54552"/>
    <w:rsid w:val="00D54E7C"/>
    <w:rsid w:val="00D54F17"/>
    <w:rsid w:val="00D57527"/>
    <w:rsid w:val="00D613A9"/>
    <w:rsid w:val="00D6405D"/>
    <w:rsid w:val="00D65209"/>
    <w:rsid w:val="00D6556E"/>
    <w:rsid w:val="00D6595E"/>
    <w:rsid w:val="00D66955"/>
    <w:rsid w:val="00D676B3"/>
    <w:rsid w:val="00D7016D"/>
    <w:rsid w:val="00D715E9"/>
    <w:rsid w:val="00D723D6"/>
    <w:rsid w:val="00D72C2C"/>
    <w:rsid w:val="00D72D6A"/>
    <w:rsid w:val="00D819CF"/>
    <w:rsid w:val="00D82DA3"/>
    <w:rsid w:val="00D83C23"/>
    <w:rsid w:val="00D83D86"/>
    <w:rsid w:val="00D84286"/>
    <w:rsid w:val="00D844BC"/>
    <w:rsid w:val="00D84E8F"/>
    <w:rsid w:val="00D90DCA"/>
    <w:rsid w:val="00D973DF"/>
    <w:rsid w:val="00D97678"/>
    <w:rsid w:val="00DA08D8"/>
    <w:rsid w:val="00DA346E"/>
    <w:rsid w:val="00DA37A1"/>
    <w:rsid w:val="00DA756D"/>
    <w:rsid w:val="00DB02B3"/>
    <w:rsid w:val="00DB311A"/>
    <w:rsid w:val="00DB625C"/>
    <w:rsid w:val="00DC2D01"/>
    <w:rsid w:val="00DC3D63"/>
    <w:rsid w:val="00DD039C"/>
    <w:rsid w:val="00DD0FCA"/>
    <w:rsid w:val="00DD1332"/>
    <w:rsid w:val="00DD3B14"/>
    <w:rsid w:val="00DD56EF"/>
    <w:rsid w:val="00DD5EA5"/>
    <w:rsid w:val="00DE16AF"/>
    <w:rsid w:val="00DE18FF"/>
    <w:rsid w:val="00DE4BE9"/>
    <w:rsid w:val="00DF11BB"/>
    <w:rsid w:val="00DF23F9"/>
    <w:rsid w:val="00DF36D9"/>
    <w:rsid w:val="00DF544A"/>
    <w:rsid w:val="00DF6409"/>
    <w:rsid w:val="00E02309"/>
    <w:rsid w:val="00E045A0"/>
    <w:rsid w:val="00E105AB"/>
    <w:rsid w:val="00E10A61"/>
    <w:rsid w:val="00E1121A"/>
    <w:rsid w:val="00E1252D"/>
    <w:rsid w:val="00E1269C"/>
    <w:rsid w:val="00E1288C"/>
    <w:rsid w:val="00E13AF9"/>
    <w:rsid w:val="00E147B6"/>
    <w:rsid w:val="00E15EAA"/>
    <w:rsid w:val="00E219AA"/>
    <w:rsid w:val="00E236B2"/>
    <w:rsid w:val="00E23E08"/>
    <w:rsid w:val="00E24AA8"/>
    <w:rsid w:val="00E26435"/>
    <w:rsid w:val="00E27C07"/>
    <w:rsid w:val="00E30183"/>
    <w:rsid w:val="00E31E04"/>
    <w:rsid w:val="00E35E83"/>
    <w:rsid w:val="00E3602F"/>
    <w:rsid w:val="00E36A9B"/>
    <w:rsid w:val="00E37177"/>
    <w:rsid w:val="00E373AD"/>
    <w:rsid w:val="00E430AB"/>
    <w:rsid w:val="00E43B68"/>
    <w:rsid w:val="00E44E3F"/>
    <w:rsid w:val="00E4531A"/>
    <w:rsid w:val="00E45895"/>
    <w:rsid w:val="00E4635E"/>
    <w:rsid w:val="00E47A72"/>
    <w:rsid w:val="00E50822"/>
    <w:rsid w:val="00E5129A"/>
    <w:rsid w:val="00E54998"/>
    <w:rsid w:val="00E54ADF"/>
    <w:rsid w:val="00E561CA"/>
    <w:rsid w:val="00E57EBA"/>
    <w:rsid w:val="00E6051F"/>
    <w:rsid w:val="00E6121B"/>
    <w:rsid w:val="00E61CF7"/>
    <w:rsid w:val="00E62F8D"/>
    <w:rsid w:val="00E6371E"/>
    <w:rsid w:val="00E638CD"/>
    <w:rsid w:val="00E63CCF"/>
    <w:rsid w:val="00E65D58"/>
    <w:rsid w:val="00E671DD"/>
    <w:rsid w:val="00E673DC"/>
    <w:rsid w:val="00E67BEA"/>
    <w:rsid w:val="00E70679"/>
    <w:rsid w:val="00E70B78"/>
    <w:rsid w:val="00E71469"/>
    <w:rsid w:val="00E71E8A"/>
    <w:rsid w:val="00E725CE"/>
    <w:rsid w:val="00E753C5"/>
    <w:rsid w:val="00E770E6"/>
    <w:rsid w:val="00E80BC0"/>
    <w:rsid w:val="00E81A69"/>
    <w:rsid w:val="00E8272C"/>
    <w:rsid w:val="00E8484D"/>
    <w:rsid w:val="00E916ED"/>
    <w:rsid w:val="00E924ED"/>
    <w:rsid w:val="00E9411C"/>
    <w:rsid w:val="00E947E7"/>
    <w:rsid w:val="00E9653D"/>
    <w:rsid w:val="00EA008B"/>
    <w:rsid w:val="00EA169F"/>
    <w:rsid w:val="00EA22C9"/>
    <w:rsid w:val="00EA234A"/>
    <w:rsid w:val="00EA3BEC"/>
    <w:rsid w:val="00EA4730"/>
    <w:rsid w:val="00EA6C74"/>
    <w:rsid w:val="00EB080D"/>
    <w:rsid w:val="00EB0938"/>
    <w:rsid w:val="00EB4173"/>
    <w:rsid w:val="00EB5313"/>
    <w:rsid w:val="00EB5B03"/>
    <w:rsid w:val="00EB5BCC"/>
    <w:rsid w:val="00EC35F1"/>
    <w:rsid w:val="00EC5220"/>
    <w:rsid w:val="00EC5229"/>
    <w:rsid w:val="00EC55D8"/>
    <w:rsid w:val="00EC6358"/>
    <w:rsid w:val="00EC68AF"/>
    <w:rsid w:val="00EC6BAB"/>
    <w:rsid w:val="00EC743B"/>
    <w:rsid w:val="00EC751D"/>
    <w:rsid w:val="00EC7C58"/>
    <w:rsid w:val="00ED1B51"/>
    <w:rsid w:val="00ED5179"/>
    <w:rsid w:val="00ED75EA"/>
    <w:rsid w:val="00EE04D2"/>
    <w:rsid w:val="00EE0F91"/>
    <w:rsid w:val="00EE12C7"/>
    <w:rsid w:val="00EE1882"/>
    <w:rsid w:val="00EE26E0"/>
    <w:rsid w:val="00EE465E"/>
    <w:rsid w:val="00EE50CC"/>
    <w:rsid w:val="00EE6622"/>
    <w:rsid w:val="00EE71AB"/>
    <w:rsid w:val="00EE7CBE"/>
    <w:rsid w:val="00EF0CEF"/>
    <w:rsid w:val="00EF20C6"/>
    <w:rsid w:val="00EF25A8"/>
    <w:rsid w:val="00EF2C7E"/>
    <w:rsid w:val="00EF31C8"/>
    <w:rsid w:val="00EF4012"/>
    <w:rsid w:val="00EF4B14"/>
    <w:rsid w:val="00EF5B6A"/>
    <w:rsid w:val="00EF689D"/>
    <w:rsid w:val="00EF68BB"/>
    <w:rsid w:val="00F00D4E"/>
    <w:rsid w:val="00F012AF"/>
    <w:rsid w:val="00F0346C"/>
    <w:rsid w:val="00F039B9"/>
    <w:rsid w:val="00F03BA4"/>
    <w:rsid w:val="00F04DEE"/>
    <w:rsid w:val="00F058F8"/>
    <w:rsid w:val="00F06BD3"/>
    <w:rsid w:val="00F101B4"/>
    <w:rsid w:val="00F121A8"/>
    <w:rsid w:val="00F16173"/>
    <w:rsid w:val="00F173B0"/>
    <w:rsid w:val="00F20C19"/>
    <w:rsid w:val="00F21253"/>
    <w:rsid w:val="00F223CF"/>
    <w:rsid w:val="00F23C7D"/>
    <w:rsid w:val="00F30D57"/>
    <w:rsid w:val="00F30E0D"/>
    <w:rsid w:val="00F33ACC"/>
    <w:rsid w:val="00F37AD3"/>
    <w:rsid w:val="00F37B7B"/>
    <w:rsid w:val="00F4059C"/>
    <w:rsid w:val="00F40E4E"/>
    <w:rsid w:val="00F415ED"/>
    <w:rsid w:val="00F42FAF"/>
    <w:rsid w:val="00F433AF"/>
    <w:rsid w:val="00F440FA"/>
    <w:rsid w:val="00F4510C"/>
    <w:rsid w:val="00F458FC"/>
    <w:rsid w:val="00F47520"/>
    <w:rsid w:val="00F548F3"/>
    <w:rsid w:val="00F57B6F"/>
    <w:rsid w:val="00F6471F"/>
    <w:rsid w:val="00F64B5E"/>
    <w:rsid w:val="00F656C3"/>
    <w:rsid w:val="00F658BF"/>
    <w:rsid w:val="00F66B76"/>
    <w:rsid w:val="00F71492"/>
    <w:rsid w:val="00F716E8"/>
    <w:rsid w:val="00F74394"/>
    <w:rsid w:val="00F7557A"/>
    <w:rsid w:val="00F7651E"/>
    <w:rsid w:val="00F76E44"/>
    <w:rsid w:val="00F77EB9"/>
    <w:rsid w:val="00F81FA5"/>
    <w:rsid w:val="00F8298B"/>
    <w:rsid w:val="00F82B94"/>
    <w:rsid w:val="00F83436"/>
    <w:rsid w:val="00F83DE2"/>
    <w:rsid w:val="00F8570F"/>
    <w:rsid w:val="00F86148"/>
    <w:rsid w:val="00F90355"/>
    <w:rsid w:val="00F9073C"/>
    <w:rsid w:val="00F90C11"/>
    <w:rsid w:val="00F91359"/>
    <w:rsid w:val="00F925D2"/>
    <w:rsid w:val="00F9277D"/>
    <w:rsid w:val="00F92E33"/>
    <w:rsid w:val="00F94BF6"/>
    <w:rsid w:val="00F9529B"/>
    <w:rsid w:val="00F959C4"/>
    <w:rsid w:val="00F95E36"/>
    <w:rsid w:val="00F96520"/>
    <w:rsid w:val="00FA19C4"/>
    <w:rsid w:val="00FA3651"/>
    <w:rsid w:val="00FA37F1"/>
    <w:rsid w:val="00FA4A33"/>
    <w:rsid w:val="00FA4B0C"/>
    <w:rsid w:val="00FA56B6"/>
    <w:rsid w:val="00FA5F83"/>
    <w:rsid w:val="00FB08EE"/>
    <w:rsid w:val="00FB0D5F"/>
    <w:rsid w:val="00FB0DBA"/>
    <w:rsid w:val="00FB0FEB"/>
    <w:rsid w:val="00FB275D"/>
    <w:rsid w:val="00FB2BC6"/>
    <w:rsid w:val="00FB3A80"/>
    <w:rsid w:val="00FB3C4F"/>
    <w:rsid w:val="00FB5A71"/>
    <w:rsid w:val="00FB5B3F"/>
    <w:rsid w:val="00FB6760"/>
    <w:rsid w:val="00FC0EE8"/>
    <w:rsid w:val="00FC19F7"/>
    <w:rsid w:val="00FC1D4D"/>
    <w:rsid w:val="00FC2F9A"/>
    <w:rsid w:val="00FC5547"/>
    <w:rsid w:val="00FC5E3F"/>
    <w:rsid w:val="00FD13DF"/>
    <w:rsid w:val="00FD1943"/>
    <w:rsid w:val="00FD1959"/>
    <w:rsid w:val="00FD2064"/>
    <w:rsid w:val="00FD267D"/>
    <w:rsid w:val="00FD31B2"/>
    <w:rsid w:val="00FD43F8"/>
    <w:rsid w:val="00FD4E28"/>
    <w:rsid w:val="00FD51EF"/>
    <w:rsid w:val="00FD5815"/>
    <w:rsid w:val="00FD5FB1"/>
    <w:rsid w:val="00FD750F"/>
    <w:rsid w:val="00FE212A"/>
    <w:rsid w:val="00FE4EB4"/>
    <w:rsid w:val="00FE62BB"/>
    <w:rsid w:val="00FE6B3B"/>
    <w:rsid w:val="00FE6B90"/>
    <w:rsid w:val="00FE77CB"/>
    <w:rsid w:val="00FE7FB0"/>
    <w:rsid w:val="00FF321E"/>
    <w:rsid w:val="00FF5ABC"/>
    <w:rsid w:val="00FF5B99"/>
    <w:rsid w:val="00FF6A87"/>
    <w:rsid w:val="00FF6E93"/>
    <w:rsid w:val="00FF7407"/>
    <w:rsid w:val="00FF7D3C"/>
    <w:rsid w:val="00FF7F47"/>
    <w:rsid w:val="011E1FE4"/>
    <w:rsid w:val="01D2451F"/>
    <w:rsid w:val="01D86637"/>
    <w:rsid w:val="020047A4"/>
    <w:rsid w:val="02B34699"/>
    <w:rsid w:val="04164461"/>
    <w:rsid w:val="041D5C3D"/>
    <w:rsid w:val="047B71E1"/>
    <w:rsid w:val="04A60F90"/>
    <w:rsid w:val="04B070A1"/>
    <w:rsid w:val="04D30209"/>
    <w:rsid w:val="05962A91"/>
    <w:rsid w:val="062048AA"/>
    <w:rsid w:val="06EF7D4E"/>
    <w:rsid w:val="07957AC2"/>
    <w:rsid w:val="07D57454"/>
    <w:rsid w:val="08096E2C"/>
    <w:rsid w:val="082622EB"/>
    <w:rsid w:val="091C14FF"/>
    <w:rsid w:val="0AE521ED"/>
    <w:rsid w:val="0AED7401"/>
    <w:rsid w:val="0C01678A"/>
    <w:rsid w:val="0E3A0C60"/>
    <w:rsid w:val="0EBE0B70"/>
    <w:rsid w:val="0F383E17"/>
    <w:rsid w:val="0FDF0005"/>
    <w:rsid w:val="100028D1"/>
    <w:rsid w:val="114A415E"/>
    <w:rsid w:val="11B47436"/>
    <w:rsid w:val="11C5313F"/>
    <w:rsid w:val="12AC6C37"/>
    <w:rsid w:val="132A0CBC"/>
    <w:rsid w:val="139879D4"/>
    <w:rsid w:val="14D67954"/>
    <w:rsid w:val="16331C36"/>
    <w:rsid w:val="164E5950"/>
    <w:rsid w:val="166C1E94"/>
    <w:rsid w:val="16E64EFA"/>
    <w:rsid w:val="16ED0036"/>
    <w:rsid w:val="17B25EFE"/>
    <w:rsid w:val="18404DDE"/>
    <w:rsid w:val="19600F94"/>
    <w:rsid w:val="198336EC"/>
    <w:rsid w:val="19CF6119"/>
    <w:rsid w:val="1A0F2D58"/>
    <w:rsid w:val="1A917906"/>
    <w:rsid w:val="1B1D233F"/>
    <w:rsid w:val="1B886580"/>
    <w:rsid w:val="1BFC17BC"/>
    <w:rsid w:val="1C451BE6"/>
    <w:rsid w:val="1C890801"/>
    <w:rsid w:val="1CE64978"/>
    <w:rsid w:val="1D183933"/>
    <w:rsid w:val="1E693A45"/>
    <w:rsid w:val="20A9143D"/>
    <w:rsid w:val="20EA55E7"/>
    <w:rsid w:val="21CC2CBB"/>
    <w:rsid w:val="21CE4BA0"/>
    <w:rsid w:val="233B497B"/>
    <w:rsid w:val="23AB10B0"/>
    <w:rsid w:val="24311EAA"/>
    <w:rsid w:val="244C0ACF"/>
    <w:rsid w:val="24535517"/>
    <w:rsid w:val="25570396"/>
    <w:rsid w:val="25E65B15"/>
    <w:rsid w:val="26B50445"/>
    <w:rsid w:val="278C5486"/>
    <w:rsid w:val="27DC1017"/>
    <w:rsid w:val="27DD3CE5"/>
    <w:rsid w:val="28214BB3"/>
    <w:rsid w:val="284C5FDC"/>
    <w:rsid w:val="29721BCD"/>
    <w:rsid w:val="29C643E5"/>
    <w:rsid w:val="29CA225F"/>
    <w:rsid w:val="29CB06AF"/>
    <w:rsid w:val="2A1F6075"/>
    <w:rsid w:val="2A36189D"/>
    <w:rsid w:val="2ACD2DBA"/>
    <w:rsid w:val="2AD822CF"/>
    <w:rsid w:val="2B887E7A"/>
    <w:rsid w:val="2D534CB7"/>
    <w:rsid w:val="2D5A3972"/>
    <w:rsid w:val="2D832E5C"/>
    <w:rsid w:val="2E5013D5"/>
    <w:rsid w:val="2E7D5CEC"/>
    <w:rsid w:val="2EAE40F8"/>
    <w:rsid w:val="2ECF3E27"/>
    <w:rsid w:val="2ED921D1"/>
    <w:rsid w:val="2F4F4749"/>
    <w:rsid w:val="2FC403F4"/>
    <w:rsid w:val="2FED091B"/>
    <w:rsid w:val="315C608D"/>
    <w:rsid w:val="31A45EEC"/>
    <w:rsid w:val="32103FEE"/>
    <w:rsid w:val="327743B2"/>
    <w:rsid w:val="32D504FA"/>
    <w:rsid w:val="34741762"/>
    <w:rsid w:val="34AA710F"/>
    <w:rsid w:val="34DA5451"/>
    <w:rsid w:val="35F92C8A"/>
    <w:rsid w:val="367125DA"/>
    <w:rsid w:val="368B43A3"/>
    <w:rsid w:val="36E3532C"/>
    <w:rsid w:val="375B7008"/>
    <w:rsid w:val="376A31C7"/>
    <w:rsid w:val="378C0A78"/>
    <w:rsid w:val="382D0788"/>
    <w:rsid w:val="382F1D7E"/>
    <w:rsid w:val="3A991A0D"/>
    <w:rsid w:val="3A9C303C"/>
    <w:rsid w:val="3B091DAA"/>
    <w:rsid w:val="3B6F28CC"/>
    <w:rsid w:val="3C572AAE"/>
    <w:rsid w:val="3CA10878"/>
    <w:rsid w:val="3CD63197"/>
    <w:rsid w:val="3D6C376D"/>
    <w:rsid w:val="3E824D7C"/>
    <w:rsid w:val="3E95498C"/>
    <w:rsid w:val="3FC179D2"/>
    <w:rsid w:val="3FEA5769"/>
    <w:rsid w:val="40A13ABC"/>
    <w:rsid w:val="40AB4AE7"/>
    <w:rsid w:val="40B54A04"/>
    <w:rsid w:val="41170801"/>
    <w:rsid w:val="424920F1"/>
    <w:rsid w:val="43822C03"/>
    <w:rsid w:val="43876DF7"/>
    <w:rsid w:val="43A538C3"/>
    <w:rsid w:val="44840D60"/>
    <w:rsid w:val="4527452D"/>
    <w:rsid w:val="45613D7D"/>
    <w:rsid w:val="456412EE"/>
    <w:rsid w:val="45905269"/>
    <w:rsid w:val="45945DDC"/>
    <w:rsid w:val="461E795D"/>
    <w:rsid w:val="46DE3850"/>
    <w:rsid w:val="47615D53"/>
    <w:rsid w:val="48AC5BC3"/>
    <w:rsid w:val="48B567E9"/>
    <w:rsid w:val="48DB150A"/>
    <w:rsid w:val="49382B48"/>
    <w:rsid w:val="493959E5"/>
    <w:rsid w:val="498A77E3"/>
    <w:rsid w:val="49CF51F6"/>
    <w:rsid w:val="49D87211"/>
    <w:rsid w:val="4A7544B4"/>
    <w:rsid w:val="4AAA17BF"/>
    <w:rsid w:val="4B422D36"/>
    <w:rsid w:val="4BDD15CA"/>
    <w:rsid w:val="4CE83703"/>
    <w:rsid w:val="4CEE0089"/>
    <w:rsid w:val="4DB72B71"/>
    <w:rsid w:val="4E4F2DA9"/>
    <w:rsid w:val="4EB0230D"/>
    <w:rsid w:val="4F2C37A6"/>
    <w:rsid w:val="50551B67"/>
    <w:rsid w:val="50811214"/>
    <w:rsid w:val="51C056FA"/>
    <w:rsid w:val="51C17C41"/>
    <w:rsid w:val="523A073B"/>
    <w:rsid w:val="5519440D"/>
    <w:rsid w:val="56496330"/>
    <w:rsid w:val="56E122E9"/>
    <w:rsid w:val="574A2360"/>
    <w:rsid w:val="576553EC"/>
    <w:rsid w:val="581D1822"/>
    <w:rsid w:val="58783461"/>
    <w:rsid w:val="5A076F56"/>
    <w:rsid w:val="5A8E035F"/>
    <w:rsid w:val="5AC400F0"/>
    <w:rsid w:val="5AD83C63"/>
    <w:rsid w:val="5BFE441D"/>
    <w:rsid w:val="5C7F17AA"/>
    <w:rsid w:val="5C8B76A2"/>
    <w:rsid w:val="5CD42EF2"/>
    <w:rsid w:val="5CD43973"/>
    <w:rsid w:val="5CDC35F6"/>
    <w:rsid w:val="5D1D710C"/>
    <w:rsid w:val="5DCC1487"/>
    <w:rsid w:val="5E192A8C"/>
    <w:rsid w:val="5E7F2A4C"/>
    <w:rsid w:val="5E897C12"/>
    <w:rsid w:val="606D4498"/>
    <w:rsid w:val="60B3541A"/>
    <w:rsid w:val="612B75FB"/>
    <w:rsid w:val="61822775"/>
    <w:rsid w:val="62495FEA"/>
    <w:rsid w:val="62E73159"/>
    <w:rsid w:val="63F26259"/>
    <w:rsid w:val="640F17B5"/>
    <w:rsid w:val="64383F30"/>
    <w:rsid w:val="65214204"/>
    <w:rsid w:val="65A40918"/>
    <w:rsid w:val="676D5BFB"/>
    <w:rsid w:val="67FF1BB5"/>
    <w:rsid w:val="687C7379"/>
    <w:rsid w:val="692F2E82"/>
    <w:rsid w:val="69455489"/>
    <w:rsid w:val="697E6C41"/>
    <w:rsid w:val="69F2723D"/>
    <w:rsid w:val="6A460108"/>
    <w:rsid w:val="6BA77B64"/>
    <w:rsid w:val="6BC51A64"/>
    <w:rsid w:val="6BD53A62"/>
    <w:rsid w:val="6CBC3400"/>
    <w:rsid w:val="6D024C0F"/>
    <w:rsid w:val="6E443B66"/>
    <w:rsid w:val="6E5777C8"/>
    <w:rsid w:val="6E81538C"/>
    <w:rsid w:val="6E8C2C38"/>
    <w:rsid w:val="6EAE1C71"/>
    <w:rsid w:val="6EDD2C8E"/>
    <w:rsid w:val="6EE6141B"/>
    <w:rsid w:val="6EF76A10"/>
    <w:rsid w:val="71431EA0"/>
    <w:rsid w:val="71CB1E97"/>
    <w:rsid w:val="71F62BE8"/>
    <w:rsid w:val="720D425E"/>
    <w:rsid w:val="726C5429"/>
    <w:rsid w:val="73A2648D"/>
    <w:rsid w:val="74600D30"/>
    <w:rsid w:val="75012163"/>
    <w:rsid w:val="750E3277"/>
    <w:rsid w:val="769B2E85"/>
    <w:rsid w:val="76A50F09"/>
    <w:rsid w:val="771E02F9"/>
    <w:rsid w:val="772238C4"/>
    <w:rsid w:val="772F687C"/>
    <w:rsid w:val="773F11E3"/>
    <w:rsid w:val="7825732E"/>
    <w:rsid w:val="79EF706B"/>
    <w:rsid w:val="7AF91823"/>
    <w:rsid w:val="7B1639CD"/>
    <w:rsid w:val="7BC167E5"/>
    <w:rsid w:val="7CA75F06"/>
    <w:rsid w:val="7D4403B3"/>
    <w:rsid w:val="7D567401"/>
    <w:rsid w:val="7DD6409E"/>
    <w:rsid w:val="7DEC6E4F"/>
    <w:rsid w:val="7E005625"/>
    <w:rsid w:val="7F6D458E"/>
    <w:rsid w:val="7FA42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仿宋_GB2312"/>
      <w:b/>
      <w:kern w:val="44"/>
      <w:sz w:val="24"/>
      <w:szCs w:val="24"/>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szCs w:val="24"/>
    </w:rPr>
  </w:style>
  <w:style w:type="paragraph" w:styleId="4">
    <w:name w:val="annotation text"/>
    <w:basedOn w:val="1"/>
    <w:link w:val="57"/>
    <w:autoRedefine/>
    <w:qFormat/>
    <w:uiPriority w:val="0"/>
    <w:pPr>
      <w:jc w:val="left"/>
    </w:pPr>
  </w:style>
  <w:style w:type="paragraph" w:styleId="5">
    <w:name w:val="Body Text"/>
    <w:basedOn w:val="1"/>
    <w:autoRedefine/>
    <w:qFormat/>
    <w:uiPriority w:val="0"/>
    <w:pPr>
      <w:spacing w:after="120"/>
    </w:pPr>
    <w:rPr>
      <w:szCs w:val="24"/>
    </w:rPr>
  </w:style>
  <w:style w:type="paragraph" w:styleId="6">
    <w:name w:val="Body Text Indent"/>
    <w:basedOn w:val="1"/>
    <w:next w:val="7"/>
    <w:autoRedefine/>
    <w:qFormat/>
    <w:uiPriority w:val="0"/>
    <w:pPr>
      <w:ind w:firstLine="420"/>
    </w:pPr>
    <w:rPr>
      <w:sz w:val="24"/>
    </w:rPr>
  </w:style>
  <w:style w:type="paragraph" w:styleId="7">
    <w:name w:val="envelope return"/>
    <w:basedOn w:val="1"/>
    <w:next w:val="8"/>
    <w:autoRedefine/>
    <w:qFormat/>
    <w:uiPriority w:val="99"/>
    <w:pPr>
      <w:snapToGrid w:val="0"/>
    </w:pPr>
    <w:rPr>
      <w:rFonts w:ascii="Arial" w:hAnsi="Arial" w:cs="Arial"/>
    </w:rPr>
  </w:style>
  <w:style w:type="paragraph" w:styleId="8">
    <w:name w:val="Body Text Indent 3"/>
    <w:basedOn w:val="1"/>
    <w:next w:val="1"/>
    <w:autoRedefine/>
    <w:qFormat/>
    <w:uiPriority w:val="0"/>
    <w:pPr>
      <w:ind w:firstLine="480"/>
    </w:pPr>
    <w:rPr>
      <w:rFonts w:ascii="宋体" w:hAnsi="宋体"/>
      <w:sz w:val="24"/>
    </w:rPr>
  </w:style>
  <w:style w:type="paragraph" w:styleId="9">
    <w:name w:val="List 2"/>
    <w:basedOn w:val="1"/>
    <w:autoRedefine/>
    <w:semiHidden/>
    <w:unhideWhenUsed/>
    <w:qFormat/>
    <w:uiPriority w:val="0"/>
    <w:pPr>
      <w:ind w:left="100" w:leftChars="200" w:hanging="200" w:hangingChars="200"/>
      <w:contextualSpacing/>
    </w:pPr>
  </w:style>
  <w:style w:type="paragraph" w:styleId="10">
    <w:name w:val="List Continue"/>
    <w:basedOn w:val="1"/>
    <w:autoRedefine/>
    <w:semiHidden/>
    <w:unhideWhenUsed/>
    <w:qFormat/>
    <w:uiPriority w:val="0"/>
    <w:pPr>
      <w:spacing w:after="120"/>
      <w:ind w:left="420" w:leftChars="200"/>
      <w:contextualSpacing/>
    </w:pPr>
  </w:style>
  <w:style w:type="paragraph" w:styleId="11">
    <w:name w:val="toc 5"/>
    <w:basedOn w:val="1"/>
    <w:next w:val="1"/>
    <w:unhideWhenUsed/>
    <w:qFormat/>
    <w:uiPriority w:val="39"/>
    <w:pPr>
      <w:ind w:left="840"/>
      <w:jc w:val="left"/>
    </w:pPr>
    <w:rPr>
      <w:rFonts w:ascii="Calibri" w:hAnsi="Calibri" w:cs="Calibri"/>
      <w:sz w:val="18"/>
      <w:szCs w:val="18"/>
    </w:rPr>
  </w:style>
  <w:style w:type="paragraph" w:styleId="12">
    <w:name w:val="Plain Text"/>
    <w:basedOn w:val="1"/>
    <w:link w:val="38"/>
    <w:autoRedefine/>
    <w:qFormat/>
    <w:uiPriority w:val="0"/>
    <w:rPr>
      <w:rFonts w:ascii="宋体" w:hAnsi="Courier New"/>
    </w:rPr>
  </w:style>
  <w:style w:type="paragraph" w:styleId="13">
    <w:name w:val="Date"/>
    <w:basedOn w:val="1"/>
    <w:next w:val="1"/>
    <w:link w:val="53"/>
    <w:autoRedefine/>
    <w:qFormat/>
    <w:uiPriority w:val="0"/>
    <w:rPr>
      <w:sz w:val="24"/>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autoRedefine/>
    <w:qFormat/>
    <w:uiPriority w:val="0"/>
    <w:rPr>
      <w:sz w:val="18"/>
      <w:szCs w:val="18"/>
    </w:rPr>
  </w:style>
  <w:style w:type="paragraph" w:styleId="16">
    <w:name w:val="footer"/>
    <w:basedOn w:val="1"/>
    <w:link w:val="45"/>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style>
  <w:style w:type="paragraph" w:styleId="19">
    <w:name w:val="Normal (Web)"/>
    <w:basedOn w:val="1"/>
    <w:autoRedefine/>
    <w:qFormat/>
    <w:uiPriority w:val="0"/>
    <w:pPr>
      <w:spacing w:before="100" w:beforeAutospacing="1" w:after="100" w:afterAutospacing="1"/>
      <w:jc w:val="left"/>
    </w:pPr>
    <w:rPr>
      <w:kern w:val="0"/>
      <w:sz w:val="24"/>
    </w:rPr>
  </w:style>
  <w:style w:type="paragraph" w:styleId="20">
    <w:name w:val="annotation subject"/>
    <w:basedOn w:val="4"/>
    <w:next w:val="4"/>
    <w:link w:val="58"/>
    <w:autoRedefine/>
    <w:qFormat/>
    <w:uiPriority w:val="0"/>
    <w:rPr>
      <w:b/>
      <w:bCs/>
    </w:rPr>
  </w:style>
  <w:style w:type="paragraph" w:styleId="21">
    <w:name w:val="Body Text First Indent"/>
    <w:basedOn w:val="5"/>
    <w:qFormat/>
    <w:uiPriority w:val="0"/>
    <w:pPr>
      <w:ind w:firstLine="420" w:firstLineChars="100"/>
    </w:pPr>
  </w:style>
  <w:style w:type="paragraph" w:styleId="22">
    <w:name w:val="Body Text First Indent 2"/>
    <w:basedOn w:val="6"/>
    <w:next w:val="1"/>
    <w:autoRedefine/>
    <w:unhideWhenUsed/>
    <w:qFormat/>
    <w:uiPriority w:val="99"/>
    <w:pPr>
      <w:tabs>
        <w:tab w:val="left" w:pos="0"/>
        <w:tab w:val="left" w:pos="993"/>
        <w:tab w:val="left" w:pos="1134"/>
      </w:tabs>
      <w:ind w:firstLine="200" w:firstLineChars="200"/>
    </w:p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0000FF"/>
      <w:u w:val="none"/>
    </w:rPr>
  </w:style>
  <w:style w:type="character" w:styleId="29">
    <w:name w:val="Emphasis"/>
    <w:basedOn w:val="25"/>
    <w:autoRedefine/>
    <w:qFormat/>
    <w:uiPriority w:val="0"/>
    <w:rPr>
      <w:b/>
      <w:i/>
    </w:rPr>
  </w:style>
  <w:style w:type="character" w:styleId="30">
    <w:name w:val="Hyperlink"/>
    <w:basedOn w:val="25"/>
    <w:autoRedefine/>
    <w:qFormat/>
    <w:uiPriority w:val="0"/>
    <w:rPr>
      <w:color w:val="0000FF"/>
      <w:u w:val="none"/>
    </w:rPr>
  </w:style>
  <w:style w:type="character" w:styleId="31">
    <w:name w:val="annotation reference"/>
    <w:basedOn w:val="25"/>
    <w:autoRedefine/>
    <w:qFormat/>
    <w:uiPriority w:val="0"/>
    <w:rPr>
      <w:sz w:val="21"/>
      <w:szCs w:val="21"/>
    </w:rPr>
  </w:style>
  <w:style w:type="character" w:customStyle="1" w:styleId="32">
    <w:name w:val="apple-converted-space"/>
    <w:basedOn w:val="25"/>
    <w:autoRedefine/>
    <w:qFormat/>
    <w:uiPriority w:val="0"/>
  </w:style>
  <w:style w:type="character" w:customStyle="1" w:styleId="33">
    <w:name w:val="paginate_button"/>
    <w:basedOn w:val="25"/>
    <w:autoRedefine/>
    <w:qFormat/>
    <w:uiPriority w:val="0"/>
    <w:rPr>
      <w:bdr w:val="single" w:color="CCCCCC" w:sz="6" w:space="0"/>
    </w:rPr>
  </w:style>
  <w:style w:type="character" w:customStyle="1" w:styleId="34">
    <w:name w:val="more1"/>
    <w:basedOn w:val="25"/>
    <w:autoRedefine/>
    <w:qFormat/>
    <w:uiPriority w:val="0"/>
  </w:style>
  <w:style w:type="character" w:customStyle="1" w:styleId="35">
    <w:name w:val="paginate_active"/>
    <w:basedOn w:val="25"/>
    <w:autoRedefine/>
    <w:qFormat/>
    <w:uiPriority w:val="0"/>
    <w:rPr>
      <w:bdr w:val="single" w:color="FD6D01" w:sz="6" w:space="0"/>
      <w:shd w:val="clear" w:color="auto" w:fill="FFEDE1"/>
    </w:rPr>
  </w:style>
  <w:style w:type="character" w:customStyle="1" w:styleId="36">
    <w:name w:val="more2"/>
    <w:basedOn w:val="25"/>
    <w:autoRedefine/>
    <w:qFormat/>
    <w:uiPriority w:val="0"/>
  </w:style>
  <w:style w:type="character" w:customStyle="1" w:styleId="37">
    <w:name w:val="纯文本 Char1"/>
    <w:autoRedefine/>
    <w:qFormat/>
    <w:uiPriority w:val="0"/>
    <w:rPr>
      <w:rFonts w:ascii="宋体" w:cs="Courier New"/>
      <w:kern w:val="2"/>
      <w:sz w:val="21"/>
      <w:szCs w:val="21"/>
      <w:lang w:val="en-US" w:eastAsia="zh-CN" w:bidi="ar-SA"/>
    </w:rPr>
  </w:style>
  <w:style w:type="character" w:customStyle="1" w:styleId="38">
    <w:name w:val="纯文本 Char"/>
    <w:basedOn w:val="25"/>
    <w:link w:val="12"/>
    <w:autoRedefine/>
    <w:qFormat/>
    <w:uiPriority w:val="0"/>
    <w:rPr>
      <w:rFonts w:ascii="宋体" w:hAnsi="Courier New" w:eastAsia="宋体"/>
      <w:kern w:val="2"/>
      <w:sz w:val="21"/>
      <w:lang w:val="en-US" w:eastAsia="zh-CN" w:bidi="ar-SA"/>
    </w:rPr>
  </w:style>
  <w:style w:type="character" w:customStyle="1" w:styleId="39">
    <w:name w:val="right4"/>
    <w:basedOn w:val="25"/>
    <w:autoRedefine/>
    <w:qFormat/>
    <w:uiPriority w:val="0"/>
    <w:rPr>
      <w:color w:val="999999"/>
    </w:rPr>
  </w:style>
  <w:style w:type="character" w:customStyle="1" w:styleId="40">
    <w:name w:val="more3"/>
    <w:basedOn w:val="25"/>
    <w:autoRedefine/>
    <w:qFormat/>
    <w:uiPriority w:val="0"/>
  </w:style>
  <w:style w:type="character" w:customStyle="1" w:styleId="41">
    <w:name w:val="inforight"/>
    <w:basedOn w:val="25"/>
    <w:autoRedefine/>
    <w:qFormat/>
    <w:uiPriority w:val="0"/>
  </w:style>
  <w:style w:type="character" w:customStyle="1" w:styleId="42">
    <w:name w:val="cdropright"/>
    <w:basedOn w:val="25"/>
    <w:autoRedefine/>
    <w:qFormat/>
    <w:uiPriority w:val="0"/>
  </w:style>
  <w:style w:type="character" w:customStyle="1" w:styleId="43">
    <w:name w:val="right3"/>
    <w:basedOn w:val="25"/>
    <w:autoRedefine/>
    <w:qFormat/>
    <w:uiPriority w:val="0"/>
    <w:rPr>
      <w:color w:val="999999"/>
    </w:rPr>
  </w:style>
  <w:style w:type="character" w:customStyle="1" w:styleId="44">
    <w:name w:val="more"/>
    <w:basedOn w:val="25"/>
    <w:autoRedefine/>
    <w:qFormat/>
    <w:uiPriority w:val="0"/>
  </w:style>
  <w:style w:type="character" w:customStyle="1" w:styleId="45">
    <w:name w:val="页脚 Char"/>
    <w:basedOn w:val="25"/>
    <w:link w:val="16"/>
    <w:autoRedefine/>
    <w:qFormat/>
    <w:uiPriority w:val="99"/>
    <w:rPr>
      <w:kern w:val="2"/>
      <w:sz w:val="18"/>
      <w:szCs w:val="18"/>
    </w:rPr>
  </w:style>
  <w:style w:type="character" w:customStyle="1" w:styleId="46">
    <w:name w:val="cdropleft"/>
    <w:basedOn w:val="25"/>
    <w:autoRedefine/>
    <w:qFormat/>
    <w:uiPriority w:val="0"/>
  </w:style>
  <w:style w:type="paragraph" w:customStyle="1" w:styleId="47">
    <w:name w:val="z-窗体底端1"/>
    <w:basedOn w:val="1"/>
    <w:next w:val="1"/>
    <w:autoRedefine/>
    <w:qFormat/>
    <w:uiPriority w:val="0"/>
    <w:pPr>
      <w:pBdr>
        <w:top w:val="single" w:color="auto" w:sz="6" w:space="1"/>
      </w:pBdr>
      <w:jc w:val="center"/>
    </w:pPr>
    <w:rPr>
      <w:rFonts w:ascii="Arial"/>
      <w:vanish/>
      <w:sz w:val="16"/>
    </w:rPr>
  </w:style>
  <w:style w:type="paragraph" w:customStyle="1" w:styleId="48">
    <w:name w:val="p0"/>
    <w:basedOn w:val="1"/>
    <w:autoRedefine/>
    <w:qFormat/>
    <w:uiPriority w:val="0"/>
    <w:pPr>
      <w:widowControl/>
    </w:pPr>
    <w:rPr>
      <w:kern w:val="0"/>
      <w:szCs w:val="21"/>
    </w:rPr>
  </w:style>
  <w:style w:type="paragraph" w:customStyle="1" w:styleId="49">
    <w:name w:val="z-窗体顶端1"/>
    <w:basedOn w:val="1"/>
    <w:next w:val="1"/>
    <w:autoRedefine/>
    <w:qFormat/>
    <w:uiPriority w:val="0"/>
    <w:pPr>
      <w:pBdr>
        <w:bottom w:val="single" w:color="auto" w:sz="6" w:space="1"/>
      </w:pBdr>
      <w:jc w:val="center"/>
    </w:pPr>
    <w:rPr>
      <w:rFonts w:ascii="Arial"/>
      <w:vanish/>
      <w:sz w:val="16"/>
    </w:rPr>
  </w:style>
  <w:style w:type="paragraph" w:customStyle="1" w:styleId="50">
    <w:name w:val="_Style 140"/>
    <w:basedOn w:val="1"/>
    <w:autoRedefine/>
    <w:qFormat/>
    <w:uiPriority w:val="0"/>
    <w:rPr>
      <w:sz w:val="28"/>
      <w:szCs w:val="28"/>
    </w:rPr>
  </w:style>
  <w:style w:type="paragraph" w:customStyle="1" w:styleId="51">
    <w:name w:val="Char Char Char Char"/>
    <w:basedOn w:val="1"/>
    <w:autoRedefine/>
    <w:qFormat/>
    <w:uiPriority w:val="0"/>
    <w:pPr>
      <w:widowControl/>
      <w:spacing w:after="160" w:line="240" w:lineRule="exact"/>
      <w:jc w:val="left"/>
    </w:pPr>
    <w:rPr>
      <w:sz w:val="28"/>
      <w:szCs w:val="24"/>
    </w:rPr>
  </w:style>
  <w:style w:type="paragraph" w:customStyle="1" w:styleId="52">
    <w:name w:val="样式 ！正文 + 首行缩进:  2 字符"/>
    <w:basedOn w:val="1"/>
    <w:autoRedefine/>
    <w:qFormat/>
    <w:uiPriority w:val="0"/>
    <w:pPr>
      <w:adjustRightInd w:val="0"/>
      <w:spacing w:line="360" w:lineRule="atLeast"/>
      <w:ind w:firstLine="480" w:firstLineChars="200"/>
      <w:textAlignment w:val="baseline"/>
    </w:pPr>
    <w:rPr>
      <w:rFonts w:hint="eastAsia" w:ascii="Arial" w:hAnsi="Arial" w:cs="宋体"/>
      <w:kern w:val="0"/>
      <w:sz w:val="20"/>
    </w:rPr>
  </w:style>
  <w:style w:type="character" w:customStyle="1" w:styleId="53">
    <w:name w:val="日期 Char"/>
    <w:link w:val="13"/>
    <w:autoRedefine/>
    <w:qFormat/>
    <w:locked/>
    <w:uiPriority w:val="0"/>
    <w:rPr>
      <w:kern w:val="2"/>
      <w:sz w:val="24"/>
    </w:rPr>
  </w:style>
  <w:style w:type="paragraph" w:customStyle="1" w:styleId="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55">
    <w:name w:val="z-窗体顶端2"/>
    <w:basedOn w:val="1"/>
    <w:next w:val="1"/>
    <w:link w:val="56"/>
    <w:autoRedefine/>
    <w:qFormat/>
    <w:uiPriority w:val="0"/>
    <w:pPr>
      <w:pBdr>
        <w:bottom w:val="single" w:color="auto" w:sz="6" w:space="1"/>
      </w:pBdr>
      <w:jc w:val="center"/>
    </w:pPr>
    <w:rPr>
      <w:rFonts w:ascii="Arial"/>
      <w:vanish/>
      <w:sz w:val="16"/>
    </w:rPr>
  </w:style>
  <w:style w:type="character" w:customStyle="1" w:styleId="56">
    <w:name w:val="z-窗体顶端 Char"/>
    <w:basedOn w:val="25"/>
    <w:link w:val="55"/>
    <w:autoRedefine/>
    <w:qFormat/>
    <w:uiPriority w:val="0"/>
    <w:rPr>
      <w:rFonts w:ascii="Arial"/>
      <w:vanish/>
      <w:kern w:val="2"/>
      <w:sz w:val="16"/>
    </w:rPr>
  </w:style>
  <w:style w:type="character" w:customStyle="1" w:styleId="57">
    <w:name w:val="批注文字 Char"/>
    <w:basedOn w:val="25"/>
    <w:link w:val="4"/>
    <w:autoRedefine/>
    <w:qFormat/>
    <w:uiPriority w:val="0"/>
    <w:rPr>
      <w:kern w:val="2"/>
      <w:sz w:val="21"/>
    </w:rPr>
  </w:style>
  <w:style w:type="character" w:customStyle="1" w:styleId="58">
    <w:name w:val="批注主题 Char"/>
    <w:basedOn w:val="57"/>
    <w:link w:val="20"/>
    <w:autoRedefine/>
    <w:qFormat/>
    <w:uiPriority w:val="0"/>
    <w:rPr>
      <w:b/>
      <w:bCs/>
      <w:kern w:val="2"/>
      <w:sz w:val="21"/>
    </w:rPr>
  </w:style>
  <w:style w:type="paragraph" w:customStyle="1" w:styleId="59">
    <w:name w:val="BodyText1I2"/>
    <w:basedOn w:val="60"/>
    <w:autoRedefine/>
    <w:qFormat/>
    <w:uiPriority w:val="99"/>
    <w:pPr>
      <w:ind w:firstLine="420" w:firstLineChars="200"/>
    </w:pPr>
  </w:style>
  <w:style w:type="paragraph" w:customStyle="1" w:styleId="60">
    <w:name w:val="BodyTextIndent"/>
    <w:basedOn w:val="1"/>
    <w:next w:val="61"/>
    <w:autoRedefine/>
    <w:qFormat/>
    <w:uiPriority w:val="99"/>
    <w:pPr>
      <w:spacing w:after="120"/>
      <w:ind w:left="420" w:leftChars="200"/>
      <w:textAlignment w:val="baseline"/>
    </w:pPr>
  </w:style>
  <w:style w:type="paragraph" w:customStyle="1" w:styleId="61">
    <w:name w:val="EnvelopeReturn"/>
    <w:basedOn w:val="1"/>
    <w:autoRedefine/>
    <w:qFormat/>
    <w:uiPriority w:val="99"/>
    <w:pPr>
      <w:snapToGrid w:val="0"/>
      <w:textAlignment w:val="baseline"/>
    </w:pPr>
    <w:rPr>
      <w:rFonts w:ascii="Arial" w:hAnsi="Arial" w:cs="Arial"/>
    </w:rPr>
  </w:style>
  <w:style w:type="character" w:customStyle="1" w:styleId="62">
    <w:name w:val="NormalCharacter"/>
    <w:autoRedefine/>
    <w:qFormat/>
    <w:uiPriority w:val="99"/>
    <w:rPr>
      <w:rFonts w:ascii="Times New Roman" w:hAnsi="Times New Roman" w:eastAsia="宋体"/>
      <w:kern w:val="2"/>
      <w:sz w:val="24"/>
      <w:lang w:val="en-US" w:eastAsia="zh-CN"/>
    </w:rPr>
  </w:style>
  <w:style w:type="paragraph" w:customStyle="1" w:styleId="63">
    <w:name w:val="列出段落1"/>
    <w:basedOn w:val="1"/>
    <w:autoRedefine/>
    <w:unhideWhenUsed/>
    <w:qFormat/>
    <w:uiPriority w:val="99"/>
    <w:pPr>
      <w:ind w:firstLine="420" w:firstLineChars="200"/>
    </w:pPr>
  </w:style>
  <w:style w:type="paragraph" w:styleId="64">
    <w:name w:val="List Paragraph"/>
    <w:basedOn w:val="1"/>
    <w:autoRedefine/>
    <w:qFormat/>
    <w:uiPriority w:val="34"/>
    <w:pPr>
      <w:autoSpaceDE w:val="0"/>
      <w:autoSpaceDN w:val="0"/>
      <w:ind w:left="100"/>
      <w:jc w:val="left"/>
    </w:pPr>
    <w:rPr>
      <w:rFonts w:ascii="宋体" w:hAnsi="宋体" w:cs="宋体"/>
      <w:kern w:val="0"/>
      <w:sz w:val="22"/>
      <w:szCs w:val="22"/>
      <w:lang w:eastAsia="en-US"/>
    </w:rPr>
  </w:style>
  <w:style w:type="paragraph" w:customStyle="1" w:styleId="65">
    <w:name w:val="普通 (Web)"/>
    <w:qFormat/>
    <w:uiPriority w:val="0"/>
    <w:pPr>
      <w:spacing w:before="100" w:after="100"/>
    </w:pPr>
    <w:rPr>
      <w:rFonts w:ascii="宋体" w:hAnsi="Times New Roman" w:eastAsia="宋体" w:cs="Times New Roman"/>
      <w:sz w:val="24"/>
      <w:lang w:val="en-US" w:eastAsia="zh-CN" w:bidi="ar-SA"/>
    </w:rPr>
  </w:style>
  <w:style w:type="paragraph" w:customStyle="1" w:styleId="66">
    <w:name w:val="Table Text"/>
    <w:basedOn w:val="1"/>
    <w:semiHidden/>
    <w:qFormat/>
    <w:uiPriority w:val="0"/>
    <w:rPr>
      <w:rFonts w:ascii="宋体" w:hAnsi="宋体" w:eastAsia="宋体" w:cs="宋体"/>
      <w:sz w:val="19"/>
      <w:szCs w:val="19"/>
      <w:lang w:val="en-US" w:eastAsia="en-US" w:bidi="ar-SA"/>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51FD-E242-4B4A-97A4-51852EC16B74}">
  <ds:schemaRefs/>
</ds:datastoreItem>
</file>

<file path=docProps/app.xml><?xml version="1.0" encoding="utf-8"?>
<Properties xmlns="http://schemas.openxmlformats.org/officeDocument/2006/extended-properties" xmlns:vt="http://schemas.openxmlformats.org/officeDocument/2006/docPropsVTypes">
  <Template>Normal.dotm</Template>
  <Company>安徽精博建设工程管理咨询有限公司</Company>
  <Pages>72</Pages>
  <Words>1520</Words>
  <Characters>1735</Characters>
  <Lines>208</Lines>
  <Paragraphs>58</Paragraphs>
  <TotalTime>0</TotalTime>
  <ScaleCrop>false</ScaleCrop>
  <LinksUpToDate>false</LinksUpToDate>
  <CharactersWithSpaces>1883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2020-06-28T09:45:00Z</dcterms:created>
  <dc:creator>CN</dc:creator>
  <cp:lastModifiedBy>李瑞</cp:lastModifiedBy>
  <cp:lastPrinted>2022-05-26T15:13:00Z</cp:lastPrinted>
  <dcterms:modified xsi:type="dcterms:W3CDTF">2026-02-11T07:17:40Z</dcterms:modified>
  <dc:title>-------------------------------------------------</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DBD34A2EB73A4677826557F17E8F252B</vt:lpwstr>
  </property>
  <property fmtid="{D5CDD505-2E9C-101B-9397-08002B2CF9AE}" pid="4" name="KSOTemplateDocerSaveRecord">
    <vt:lpwstr>eyJoZGlkIjoiOWNiODE3NmRkZDFiNzY1ODVlYWU3M2E1OGQxZTQ2MzEiLCJ1c2VySWQiOiI4MDg2ODIyOTkifQ==</vt:lpwstr>
  </property>
</Properties>
</file>