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8"/>
        <w:wordWrap w:val="0"/>
        <w:spacing w:line="360" w:lineRule="auto"/>
        <w:jc w:val="center"/>
        <w:rPr>
          <w:rFonts w:hint="eastAsia" w:hAnsi="宋体"/>
          <w:b/>
          <w:color w:val="auto"/>
          <w:kern w:val="0"/>
          <w:sz w:val="56"/>
          <w:szCs w:val="56"/>
          <w:highlight w:val="none"/>
        </w:rPr>
      </w:pPr>
    </w:p>
    <w:p>
      <w:pPr>
        <w:pStyle w:val="38"/>
        <w:wordWrap w:val="0"/>
        <w:spacing w:line="360" w:lineRule="auto"/>
        <w:jc w:val="center"/>
        <w:rPr>
          <w:rFonts w:hint="eastAsia" w:hAnsi="宋体" w:eastAsia="宋体"/>
          <w:b/>
          <w:color w:val="auto"/>
          <w:kern w:val="0"/>
          <w:sz w:val="52"/>
          <w:szCs w:val="52"/>
          <w:highlight w:val="none"/>
          <w:lang w:eastAsia="zh-CN"/>
        </w:rPr>
      </w:pPr>
      <w:r>
        <w:rPr>
          <w:rFonts w:hint="eastAsia" w:hAnsi="宋体"/>
          <w:b/>
          <w:color w:val="auto"/>
          <w:kern w:val="0"/>
          <w:sz w:val="52"/>
          <w:szCs w:val="52"/>
          <w:highlight w:val="none"/>
          <w:lang w:eastAsia="zh-CN"/>
        </w:rPr>
        <w:t>铜陵市公共数据资源授权运营机构遴选</w:t>
      </w:r>
    </w:p>
    <w:p>
      <w:pPr>
        <w:pStyle w:val="8"/>
        <w:tabs>
          <w:tab w:val="left" w:pos="567"/>
        </w:tabs>
        <w:rPr>
          <w:color w:val="auto"/>
          <w:highlight w:val="none"/>
        </w:rPr>
      </w:pPr>
    </w:p>
    <w:p>
      <w:pPr>
        <w:pStyle w:val="8"/>
        <w:tabs>
          <w:tab w:val="left" w:pos="567"/>
        </w:tabs>
        <w:rPr>
          <w:color w:val="auto"/>
          <w:highlight w:val="none"/>
        </w:rPr>
      </w:pPr>
    </w:p>
    <w:p>
      <w:pPr>
        <w:rPr>
          <w:color w:val="auto"/>
          <w:highlight w:val="none"/>
        </w:rPr>
      </w:pPr>
    </w:p>
    <w:p>
      <w:pPr>
        <w:pStyle w:val="8"/>
        <w:tabs>
          <w:tab w:val="left" w:pos="567"/>
        </w:tabs>
        <w:rPr>
          <w:color w:val="auto"/>
          <w:highlight w:val="none"/>
        </w:rPr>
      </w:pPr>
    </w:p>
    <w:p>
      <w:pPr>
        <w:rPr>
          <w:color w:val="auto"/>
          <w:highlight w:val="none"/>
        </w:rPr>
      </w:pPr>
    </w:p>
    <w:p>
      <w:pPr>
        <w:rPr>
          <w:color w:val="auto"/>
          <w:highlight w:val="none"/>
        </w:rPr>
      </w:pPr>
    </w:p>
    <w:p>
      <w:pPr>
        <w:pStyle w:val="8"/>
        <w:rPr>
          <w:color w:val="auto"/>
          <w:highlight w:val="none"/>
        </w:rPr>
      </w:pPr>
    </w:p>
    <w:p>
      <w:pPr>
        <w:pStyle w:val="8"/>
        <w:rPr>
          <w:color w:val="auto"/>
          <w:highlight w:val="none"/>
        </w:rPr>
      </w:pPr>
    </w:p>
    <w:p>
      <w:pPr>
        <w:pStyle w:val="8"/>
        <w:rPr>
          <w:color w:val="auto"/>
          <w:highlight w:val="none"/>
        </w:rPr>
      </w:pPr>
    </w:p>
    <w:p>
      <w:pPr>
        <w:pStyle w:val="8"/>
        <w:rPr>
          <w:color w:val="auto"/>
          <w:highlight w:val="none"/>
        </w:rPr>
      </w:pPr>
    </w:p>
    <w:p>
      <w:pPr>
        <w:pStyle w:val="8"/>
        <w:rPr>
          <w:color w:val="auto"/>
          <w:highlight w:val="none"/>
        </w:rPr>
      </w:pPr>
    </w:p>
    <w:p>
      <w:pPr>
        <w:pStyle w:val="8"/>
        <w:rPr>
          <w:color w:val="auto"/>
          <w:highlight w:val="none"/>
        </w:rPr>
      </w:pPr>
    </w:p>
    <w:p>
      <w:pPr>
        <w:rPr>
          <w:color w:val="auto"/>
          <w:highlight w:val="none"/>
        </w:rPr>
      </w:pPr>
    </w:p>
    <w:p>
      <w:pPr>
        <w:pStyle w:val="8"/>
        <w:tabs>
          <w:tab w:val="left" w:pos="567"/>
        </w:tabs>
        <w:rPr>
          <w:color w:val="auto"/>
          <w:highlight w:val="none"/>
        </w:rPr>
      </w:pPr>
    </w:p>
    <w:p>
      <w:pPr>
        <w:pStyle w:val="38"/>
        <w:wordWrap w:val="0"/>
        <w:snapToGrid w:val="0"/>
        <w:spacing w:line="480" w:lineRule="auto"/>
        <w:rPr>
          <w:rFonts w:hint="eastAsia" w:hAnsi="宋体" w:eastAsia="宋体"/>
          <w:b/>
          <w:bCs w:val="0"/>
          <w:color w:val="auto"/>
          <w:sz w:val="32"/>
          <w:szCs w:val="32"/>
          <w:highlight w:val="none"/>
          <w:lang w:eastAsia="zh-CN"/>
        </w:rPr>
      </w:pPr>
      <w:r>
        <w:rPr>
          <w:rFonts w:hint="eastAsia" w:hAnsi="宋体"/>
          <w:b/>
          <w:bCs w:val="0"/>
          <w:color w:val="auto"/>
          <w:sz w:val="32"/>
          <w:szCs w:val="32"/>
          <w:highlight w:val="none"/>
        </w:rPr>
        <w:t>项目名称：</w:t>
      </w:r>
      <w:r>
        <w:rPr>
          <w:rFonts w:hint="eastAsia" w:hAnsi="宋体"/>
          <w:b/>
          <w:bCs w:val="0"/>
          <w:color w:val="auto"/>
          <w:sz w:val="32"/>
          <w:szCs w:val="32"/>
          <w:highlight w:val="none"/>
          <w:lang w:eastAsia="zh-CN"/>
        </w:rPr>
        <w:t>铜陵市公共数据资源授权运营机构遴选</w:t>
      </w:r>
    </w:p>
    <w:p>
      <w:pPr>
        <w:snapToGrid w:val="0"/>
        <w:spacing w:line="480" w:lineRule="auto"/>
        <w:rPr>
          <w:rFonts w:hint="eastAsia" w:ascii="宋体" w:hAnsi="宋体" w:eastAsia="宋体" w:cs="宋体"/>
          <w:b/>
          <w:bCs w:val="0"/>
          <w:color w:val="auto"/>
          <w:sz w:val="32"/>
          <w:szCs w:val="32"/>
          <w:highlight w:val="none"/>
          <w:lang w:eastAsia="zh-CN"/>
        </w:rPr>
      </w:pPr>
      <w:r>
        <w:rPr>
          <w:rFonts w:hint="eastAsia" w:ascii="宋体" w:hAnsi="宋体" w:cs="宋体"/>
          <w:b/>
          <w:bCs w:val="0"/>
          <w:color w:val="auto"/>
          <w:sz w:val="32"/>
          <w:szCs w:val="32"/>
          <w:highlight w:val="none"/>
        </w:rPr>
        <w:t>项目编号：</w:t>
      </w:r>
      <w:r>
        <w:rPr>
          <w:rFonts w:hint="eastAsia" w:ascii="宋体" w:hAnsi="宋体" w:cs="宋体"/>
          <w:b/>
          <w:bCs w:val="0"/>
          <w:color w:val="auto"/>
          <w:sz w:val="32"/>
          <w:szCs w:val="32"/>
          <w:highlight w:val="none"/>
          <w:lang w:eastAsia="zh-CN"/>
        </w:rPr>
        <w:t>TSZB2026114</w:t>
      </w:r>
    </w:p>
    <w:p>
      <w:pPr>
        <w:pStyle w:val="38"/>
        <w:wordWrap w:val="0"/>
        <w:snapToGrid w:val="0"/>
        <w:spacing w:line="480" w:lineRule="auto"/>
        <w:rPr>
          <w:rFonts w:hint="eastAsia" w:hAnsi="宋体" w:eastAsia="宋体"/>
          <w:b/>
          <w:bCs w:val="0"/>
          <w:color w:val="auto"/>
          <w:sz w:val="32"/>
          <w:szCs w:val="32"/>
          <w:highlight w:val="none"/>
          <w:lang w:eastAsia="zh-CN"/>
        </w:rPr>
      </w:pPr>
      <w:r>
        <w:rPr>
          <w:rFonts w:hint="eastAsia" w:hAnsi="宋体"/>
          <w:b/>
          <w:bCs w:val="0"/>
          <w:color w:val="auto"/>
          <w:sz w:val="32"/>
          <w:szCs w:val="32"/>
          <w:highlight w:val="none"/>
        </w:rPr>
        <w:t>采购人：</w:t>
      </w:r>
      <w:r>
        <w:rPr>
          <w:rFonts w:hint="eastAsia" w:hAnsi="宋体"/>
          <w:b/>
          <w:bCs w:val="0"/>
          <w:color w:val="auto"/>
          <w:sz w:val="32"/>
          <w:szCs w:val="32"/>
          <w:highlight w:val="none"/>
          <w:lang w:eastAsia="zh-CN"/>
        </w:rPr>
        <w:t>铜陵市数据资源管理局</w:t>
      </w:r>
    </w:p>
    <w:p>
      <w:pPr>
        <w:pStyle w:val="38"/>
        <w:wordWrap w:val="0"/>
        <w:snapToGrid w:val="0"/>
        <w:spacing w:line="480" w:lineRule="auto"/>
        <w:rPr>
          <w:rFonts w:hint="eastAsia" w:hAnsi="宋体"/>
          <w:b/>
          <w:bCs w:val="0"/>
          <w:color w:val="auto"/>
          <w:sz w:val="32"/>
          <w:szCs w:val="32"/>
          <w:highlight w:val="none"/>
        </w:rPr>
      </w:pPr>
      <w:r>
        <w:rPr>
          <w:rFonts w:hint="eastAsia" w:hAnsi="宋体"/>
          <w:b/>
          <w:bCs w:val="0"/>
          <w:color w:val="auto"/>
          <w:sz w:val="32"/>
          <w:szCs w:val="32"/>
          <w:highlight w:val="none"/>
        </w:rPr>
        <w:t>采购代理机构：</w:t>
      </w:r>
      <w:r>
        <w:rPr>
          <w:rFonts w:hAnsi="宋体"/>
          <w:b/>
          <w:bCs w:val="0"/>
          <w:color w:val="auto"/>
          <w:sz w:val="32"/>
          <w:szCs w:val="32"/>
          <w:highlight w:val="none"/>
        </w:rPr>
        <w:t>安徽同升工程管理咨询有限责任公司</w:t>
      </w:r>
    </w:p>
    <w:p>
      <w:pPr>
        <w:jc w:val="center"/>
        <w:rPr>
          <w:rFonts w:hint="eastAsia" w:ascii="宋体" w:hAnsi="宋体" w:eastAsia="宋体"/>
          <w:b/>
          <w:color w:val="auto"/>
          <w:sz w:val="36"/>
          <w:highlight w:val="none"/>
          <w:lang w:eastAsia="zh-CN"/>
        </w:rPr>
      </w:pPr>
      <w:r>
        <w:rPr>
          <w:rFonts w:hint="eastAsia" w:ascii="宋体" w:hAnsi="宋体" w:eastAsia="宋体"/>
          <w:b/>
          <w:color w:val="auto"/>
          <w:sz w:val="36"/>
          <w:highlight w:val="none"/>
          <w:u w:val="single"/>
          <w:lang w:eastAsia="zh-CN"/>
        </w:rPr>
        <w:t>2026</w:t>
      </w:r>
      <w:r>
        <w:rPr>
          <w:rFonts w:hint="eastAsia" w:ascii="宋体" w:hAnsi="宋体" w:eastAsia="宋体"/>
          <w:b/>
          <w:color w:val="auto"/>
          <w:sz w:val="36"/>
          <w:highlight w:val="none"/>
          <w:u w:val="single"/>
          <w:lang w:val="en-US" w:eastAsia="zh-CN"/>
        </w:rPr>
        <w:t xml:space="preserve"> </w:t>
      </w:r>
      <w:r>
        <w:rPr>
          <w:rFonts w:hint="eastAsia" w:ascii="宋体" w:hAnsi="宋体" w:eastAsia="宋体"/>
          <w:b/>
          <w:color w:val="auto"/>
          <w:sz w:val="36"/>
          <w:highlight w:val="none"/>
          <w:lang w:eastAsia="zh-CN"/>
        </w:rPr>
        <w:t>年</w:t>
      </w:r>
      <w:r>
        <w:rPr>
          <w:rFonts w:hint="eastAsia" w:ascii="宋体" w:hAnsi="宋体" w:eastAsia="宋体"/>
          <w:b/>
          <w:color w:val="auto"/>
          <w:sz w:val="36"/>
          <w:highlight w:val="none"/>
          <w:u w:val="single"/>
          <w:lang w:eastAsia="zh-CN"/>
        </w:rPr>
        <w:t>0</w:t>
      </w:r>
      <w:r>
        <w:rPr>
          <w:rFonts w:hint="eastAsia" w:ascii="宋体" w:hAnsi="宋体" w:eastAsia="宋体"/>
          <w:b/>
          <w:color w:val="auto"/>
          <w:sz w:val="36"/>
          <w:highlight w:val="none"/>
          <w:u w:val="single"/>
          <w:lang w:val="en-US" w:eastAsia="zh-CN"/>
        </w:rPr>
        <w:t xml:space="preserve">8 </w:t>
      </w:r>
      <w:r>
        <w:rPr>
          <w:rFonts w:hint="eastAsia" w:ascii="宋体" w:hAnsi="宋体" w:eastAsia="宋体"/>
          <w:b/>
          <w:color w:val="auto"/>
          <w:sz w:val="36"/>
          <w:highlight w:val="none"/>
          <w:lang w:eastAsia="zh-CN"/>
        </w:rPr>
        <w:t>月</w:t>
      </w:r>
    </w:p>
    <w:p>
      <w:pPr>
        <w:pStyle w:val="8"/>
        <w:rPr>
          <w:rFonts w:hint="eastAsia"/>
          <w:b/>
          <w:color w:val="auto"/>
          <w:sz w:val="36"/>
          <w:highlight w:val="none"/>
          <w:lang w:eastAsia="zh-CN"/>
        </w:rPr>
      </w:pPr>
    </w:p>
    <w:p>
      <w:pPr>
        <w:rPr>
          <w:rFonts w:hint="eastAsia"/>
          <w:b/>
          <w:color w:val="auto"/>
          <w:sz w:val="36"/>
          <w:highlight w:val="none"/>
          <w:lang w:eastAsia="zh-CN"/>
        </w:rPr>
      </w:pPr>
      <w:r>
        <w:rPr>
          <w:rFonts w:hint="eastAsia"/>
          <w:b/>
          <w:color w:val="auto"/>
          <w:sz w:val="36"/>
          <w:highlight w:val="none"/>
          <w:lang w:eastAsia="zh-CN"/>
        </w:rPr>
        <w:br w:type="page"/>
      </w:r>
    </w:p>
    <w:p>
      <w:pPr>
        <w:pStyle w:val="17"/>
        <w:rPr>
          <w:rFonts w:hint="eastAsia"/>
          <w:color w:val="auto"/>
          <w:highlight w:val="none"/>
          <w:lang w:eastAsia="zh-CN"/>
        </w:rPr>
      </w:pPr>
    </w:p>
    <w:p>
      <w:pPr>
        <w:tabs>
          <w:tab w:val="left" w:pos="1447"/>
        </w:tabs>
        <w:spacing w:line="460" w:lineRule="exact"/>
        <w:ind w:left="5"/>
        <w:jc w:val="center"/>
        <w:rPr>
          <w:rFonts w:hint="eastAsia" w:ascii="宋体" w:hAnsi="宋体" w:eastAsia="宋体"/>
          <w:b/>
          <w:bCs/>
          <w:color w:val="auto"/>
          <w:sz w:val="40"/>
          <w:szCs w:val="40"/>
          <w:highlight w:val="none"/>
        </w:rPr>
      </w:pPr>
      <w:r>
        <w:rPr>
          <w:rFonts w:hint="eastAsia" w:ascii="宋体" w:hAnsi="宋体" w:eastAsia="宋体"/>
          <w:b/>
          <w:bCs/>
          <w:color w:val="auto"/>
          <w:sz w:val="40"/>
          <w:szCs w:val="40"/>
          <w:highlight w:val="none"/>
        </w:rPr>
        <w:t>目</w:t>
      </w:r>
      <w:r>
        <w:rPr>
          <w:rFonts w:hint="eastAsia" w:ascii="宋体" w:hAnsi="宋体" w:eastAsia="宋体"/>
          <w:b/>
          <w:bCs/>
          <w:color w:val="auto"/>
          <w:sz w:val="40"/>
          <w:szCs w:val="40"/>
          <w:highlight w:val="none"/>
        </w:rPr>
        <w:tab/>
      </w:r>
      <w:r>
        <w:rPr>
          <w:rFonts w:hint="eastAsia" w:ascii="宋体" w:hAnsi="宋体" w:eastAsia="宋体"/>
          <w:b/>
          <w:bCs/>
          <w:color w:val="auto"/>
          <w:sz w:val="40"/>
          <w:szCs w:val="40"/>
          <w:highlight w:val="none"/>
        </w:rPr>
        <w:t>录</w:t>
      </w:r>
    </w:p>
    <w:p>
      <w:pPr>
        <w:rPr>
          <w:rFonts w:hint="eastAsia" w:ascii="宋体" w:hAnsi="宋体" w:eastAsia="宋体"/>
          <w:color w:val="auto"/>
          <w:sz w:val="40"/>
          <w:szCs w:val="40"/>
          <w:highlight w:val="none"/>
        </w:rPr>
      </w:pPr>
    </w:p>
    <w:p>
      <w:pPr>
        <w:pStyle w:val="15"/>
        <w:tabs>
          <w:tab w:val="right" w:leader="dot" w:pos="8306"/>
        </w:tabs>
        <w:snapToGrid w:val="0"/>
        <w:spacing w:line="600" w:lineRule="exact"/>
        <w:rPr>
          <w:rFonts w:hint="eastAsia"/>
          <w:color w:val="auto"/>
          <w:highlight w:val="none"/>
        </w:rPr>
      </w:pPr>
      <w:r>
        <w:rPr>
          <w:b/>
          <w:color w:val="auto"/>
          <w:highlight w:val="none"/>
        </w:rPr>
        <w:fldChar w:fldCharType="begin"/>
      </w:r>
      <w:r>
        <w:rPr>
          <w:b/>
          <w:color w:val="auto"/>
          <w:highlight w:val="none"/>
        </w:rPr>
        <w:instrText xml:space="preserve"> </w:instrText>
      </w:r>
      <w:r>
        <w:rPr>
          <w:rFonts w:hint="eastAsia"/>
          <w:b/>
          <w:color w:val="auto"/>
          <w:highlight w:val="none"/>
        </w:rPr>
        <w:instrText xml:space="preserve">TOC \o "1-2" \h \z \u</w:instrText>
      </w:r>
      <w:r>
        <w:rPr>
          <w:b/>
          <w:color w:val="auto"/>
          <w:highlight w:val="none"/>
        </w:rPr>
        <w:instrText xml:space="preserve"> </w:instrText>
      </w:r>
      <w:r>
        <w:rPr>
          <w:b/>
          <w:color w:val="auto"/>
          <w:highlight w:val="none"/>
        </w:rPr>
        <w:fldChar w:fldCharType="separate"/>
      </w:r>
      <w:r>
        <w:rPr>
          <w:color w:val="auto"/>
          <w:highlight w:val="none"/>
        </w:rPr>
        <w:fldChar w:fldCharType="begin"/>
      </w:r>
      <w:r>
        <w:rPr>
          <w:color w:val="auto"/>
          <w:highlight w:val="none"/>
        </w:rPr>
        <w:instrText xml:space="preserve"> HYPERLINK \l "_Toc23443" </w:instrText>
      </w:r>
      <w:r>
        <w:rPr>
          <w:color w:val="auto"/>
          <w:highlight w:val="none"/>
        </w:rPr>
        <w:fldChar w:fldCharType="separate"/>
      </w:r>
      <w:r>
        <w:rPr>
          <w:rFonts w:hint="eastAsia"/>
          <w:color w:val="auto"/>
          <w:highlight w:val="none"/>
        </w:rPr>
        <w:t xml:space="preserve">第一章 </w:t>
      </w:r>
      <w:r>
        <w:rPr>
          <w:color w:val="auto"/>
          <w:highlight w:val="none"/>
        </w:rPr>
        <w:t xml:space="preserve"> </w:t>
      </w:r>
      <w:r>
        <w:rPr>
          <w:rFonts w:hint="eastAsia"/>
          <w:color w:val="auto"/>
          <w:highlight w:val="none"/>
          <w:lang w:eastAsia="zh-CN"/>
        </w:rPr>
        <w:t>遴选公告</w:t>
      </w:r>
      <w:r>
        <w:rPr>
          <w:color w:val="auto"/>
          <w:highlight w:val="none"/>
        </w:rPr>
        <w:fldChar w:fldCharType="end"/>
      </w:r>
    </w:p>
    <w:p>
      <w:pPr>
        <w:pStyle w:val="15"/>
        <w:tabs>
          <w:tab w:val="right" w:leader="dot" w:pos="8306"/>
        </w:tabs>
        <w:snapToGrid w:val="0"/>
        <w:spacing w:line="600" w:lineRule="exact"/>
        <w:rPr>
          <w:rFonts w:hint="eastAsia"/>
          <w:color w:val="auto"/>
          <w:highlight w:val="none"/>
        </w:rPr>
      </w:pPr>
      <w:r>
        <w:rPr>
          <w:color w:val="auto"/>
          <w:highlight w:val="none"/>
        </w:rPr>
        <w:fldChar w:fldCharType="begin"/>
      </w:r>
      <w:r>
        <w:rPr>
          <w:color w:val="auto"/>
          <w:highlight w:val="none"/>
        </w:rPr>
        <w:instrText xml:space="preserve"> HYPERLINK \l "_Toc31935" </w:instrText>
      </w:r>
      <w:r>
        <w:rPr>
          <w:color w:val="auto"/>
          <w:highlight w:val="none"/>
        </w:rPr>
        <w:fldChar w:fldCharType="separate"/>
      </w:r>
      <w:r>
        <w:rPr>
          <w:rFonts w:hint="eastAsia"/>
          <w:color w:val="auto"/>
          <w:highlight w:val="none"/>
        </w:rPr>
        <w:t>第二章</w:t>
      </w:r>
      <w:r>
        <w:rPr>
          <w:color w:val="auto"/>
          <w:highlight w:val="none"/>
        </w:rPr>
        <w:t xml:space="preserve"> </w:t>
      </w:r>
      <w:r>
        <w:rPr>
          <w:rFonts w:hint="eastAsia"/>
          <w:color w:val="auto"/>
          <w:highlight w:val="none"/>
        </w:rPr>
        <w:t xml:space="preserve"> </w:t>
      </w:r>
      <w:r>
        <w:rPr>
          <w:color w:val="auto"/>
          <w:highlight w:val="none"/>
        </w:rPr>
        <w:t>投标人须知</w:t>
      </w:r>
      <w:r>
        <w:rPr>
          <w:color w:val="auto"/>
          <w:highlight w:val="none"/>
        </w:rPr>
        <w:fldChar w:fldCharType="end"/>
      </w:r>
    </w:p>
    <w:p>
      <w:pPr>
        <w:pStyle w:val="15"/>
        <w:tabs>
          <w:tab w:val="right" w:leader="dot" w:pos="8306"/>
        </w:tabs>
        <w:snapToGrid w:val="0"/>
        <w:spacing w:line="600" w:lineRule="exact"/>
        <w:rPr>
          <w:rFonts w:hint="eastAsia"/>
          <w:color w:val="auto"/>
          <w:highlight w:val="none"/>
        </w:rPr>
      </w:pPr>
      <w:r>
        <w:rPr>
          <w:color w:val="auto"/>
          <w:highlight w:val="none"/>
        </w:rPr>
        <w:fldChar w:fldCharType="begin"/>
      </w:r>
      <w:r>
        <w:rPr>
          <w:color w:val="auto"/>
          <w:highlight w:val="none"/>
        </w:rPr>
        <w:instrText xml:space="preserve"> HYPERLINK \l "_Toc10891" </w:instrText>
      </w:r>
      <w:r>
        <w:rPr>
          <w:color w:val="auto"/>
          <w:highlight w:val="none"/>
        </w:rPr>
        <w:fldChar w:fldCharType="separate"/>
      </w:r>
      <w:r>
        <w:rPr>
          <w:rFonts w:hint="eastAsia"/>
          <w:color w:val="auto"/>
          <w:highlight w:val="none"/>
        </w:rPr>
        <w:t>第三章  采购需求</w:t>
      </w:r>
      <w:r>
        <w:rPr>
          <w:rFonts w:hint="eastAsia"/>
          <w:color w:val="auto"/>
          <w:highlight w:val="none"/>
        </w:rPr>
        <w:fldChar w:fldCharType="end"/>
      </w:r>
    </w:p>
    <w:p>
      <w:pPr>
        <w:pStyle w:val="15"/>
        <w:tabs>
          <w:tab w:val="right" w:leader="dot" w:pos="8306"/>
        </w:tabs>
        <w:snapToGrid w:val="0"/>
        <w:spacing w:line="600" w:lineRule="exact"/>
        <w:rPr>
          <w:rFonts w:hint="eastAsia"/>
          <w:color w:val="auto"/>
          <w:highlight w:val="none"/>
        </w:rPr>
      </w:pPr>
      <w:r>
        <w:rPr>
          <w:color w:val="auto"/>
          <w:highlight w:val="none"/>
        </w:rPr>
        <w:fldChar w:fldCharType="begin"/>
      </w:r>
      <w:r>
        <w:rPr>
          <w:color w:val="auto"/>
          <w:highlight w:val="none"/>
        </w:rPr>
        <w:instrText xml:space="preserve"> HYPERLINK \l "_Toc4328" </w:instrText>
      </w:r>
      <w:r>
        <w:rPr>
          <w:color w:val="auto"/>
          <w:highlight w:val="none"/>
        </w:rPr>
        <w:fldChar w:fldCharType="separate"/>
      </w:r>
      <w:r>
        <w:rPr>
          <w:rFonts w:hint="eastAsia"/>
          <w:color w:val="auto"/>
          <w:highlight w:val="none"/>
        </w:rPr>
        <w:t>第四章  评标方法和标准</w:t>
      </w:r>
      <w:r>
        <w:rPr>
          <w:rFonts w:hint="eastAsia"/>
          <w:color w:val="auto"/>
          <w:highlight w:val="none"/>
        </w:rPr>
        <w:fldChar w:fldCharType="end"/>
      </w:r>
    </w:p>
    <w:p>
      <w:pPr>
        <w:pStyle w:val="15"/>
        <w:tabs>
          <w:tab w:val="right" w:leader="dot" w:pos="8306"/>
        </w:tabs>
        <w:snapToGrid w:val="0"/>
        <w:spacing w:line="600" w:lineRule="exact"/>
        <w:rPr>
          <w:rFonts w:hint="default" w:eastAsia="宋体"/>
          <w:color w:val="auto"/>
          <w:highlight w:val="none"/>
          <w:lang w:val="en-US" w:eastAsia="zh-CN"/>
        </w:rPr>
      </w:pPr>
      <w:r>
        <w:rPr>
          <w:color w:val="auto"/>
          <w:highlight w:val="none"/>
        </w:rPr>
        <w:fldChar w:fldCharType="begin"/>
      </w:r>
      <w:r>
        <w:rPr>
          <w:color w:val="auto"/>
          <w:highlight w:val="none"/>
        </w:rPr>
        <w:instrText xml:space="preserve"> HYPERLINK \l "_Toc4682" </w:instrText>
      </w:r>
      <w:r>
        <w:rPr>
          <w:color w:val="auto"/>
          <w:highlight w:val="none"/>
        </w:rPr>
        <w:fldChar w:fldCharType="separate"/>
      </w:r>
      <w:r>
        <w:rPr>
          <w:rFonts w:hint="eastAsia"/>
          <w:color w:val="auto"/>
          <w:highlight w:val="none"/>
        </w:rPr>
        <w:t xml:space="preserve">第五章 </w:t>
      </w:r>
      <w:r>
        <w:rPr>
          <w:rFonts w:hint="eastAsia"/>
          <w:color w:val="auto"/>
          <w:highlight w:val="none"/>
          <w:lang w:eastAsia="zh-CN"/>
        </w:rPr>
        <w:t xml:space="preserve"> </w:t>
      </w:r>
      <w:r>
        <w:rPr>
          <w:color w:val="auto"/>
          <w:highlight w:val="none"/>
        </w:rPr>
        <w:t>政府采购合同</w:t>
      </w:r>
      <w:r>
        <w:rPr>
          <w:color w:val="auto"/>
          <w:highlight w:val="none"/>
        </w:rPr>
        <w:fldChar w:fldCharType="end"/>
      </w:r>
      <w:r>
        <w:rPr>
          <w:rFonts w:hint="eastAsia"/>
          <w:color w:val="auto"/>
          <w:highlight w:val="none"/>
          <w:lang w:val="en-US" w:eastAsia="zh-CN"/>
        </w:rPr>
        <w:t>/协议</w:t>
      </w:r>
    </w:p>
    <w:p>
      <w:pPr>
        <w:pStyle w:val="15"/>
        <w:tabs>
          <w:tab w:val="right" w:leader="dot" w:pos="8306"/>
        </w:tabs>
        <w:snapToGrid w:val="0"/>
        <w:spacing w:line="600" w:lineRule="exact"/>
        <w:rPr>
          <w:rFonts w:hint="eastAsia"/>
          <w:color w:val="auto"/>
          <w:highlight w:val="none"/>
        </w:rPr>
      </w:pPr>
      <w:r>
        <w:rPr>
          <w:color w:val="auto"/>
          <w:highlight w:val="none"/>
        </w:rPr>
        <w:fldChar w:fldCharType="begin"/>
      </w:r>
      <w:r>
        <w:rPr>
          <w:color w:val="auto"/>
          <w:highlight w:val="none"/>
        </w:rPr>
        <w:instrText xml:space="preserve"> HYPERLINK \l "_Toc22492" </w:instrText>
      </w:r>
      <w:r>
        <w:rPr>
          <w:color w:val="auto"/>
          <w:highlight w:val="none"/>
        </w:rPr>
        <w:fldChar w:fldCharType="separate"/>
      </w:r>
      <w:r>
        <w:rPr>
          <w:rFonts w:hint="eastAsia"/>
          <w:color w:val="auto"/>
          <w:highlight w:val="none"/>
        </w:rPr>
        <w:t>第六章  投标文件格式</w:t>
      </w:r>
      <w:r>
        <w:rPr>
          <w:rFonts w:hint="eastAsia"/>
          <w:color w:val="auto"/>
          <w:highlight w:val="none"/>
        </w:rPr>
        <w:fldChar w:fldCharType="end"/>
      </w:r>
    </w:p>
    <w:p>
      <w:pPr>
        <w:snapToGrid w:val="0"/>
        <w:spacing w:line="600" w:lineRule="exact"/>
        <w:rPr>
          <w:rFonts w:hint="eastAsia" w:ascii="宋体" w:hAnsi="宋体" w:eastAsia="宋体"/>
          <w:b/>
          <w:color w:val="auto"/>
          <w:sz w:val="32"/>
          <w:highlight w:val="none"/>
          <w:lang w:eastAsia="zh-CN"/>
        </w:rPr>
      </w:pPr>
      <w:r>
        <w:rPr>
          <w:rFonts w:ascii="宋体" w:hAnsi="宋体" w:eastAsia="宋体"/>
          <w:color w:val="auto"/>
          <w:highlight w:val="none"/>
        </w:rPr>
        <w:fldChar w:fldCharType="end"/>
      </w:r>
    </w:p>
    <w:p>
      <w:pPr>
        <w:pStyle w:val="8"/>
        <w:spacing w:line="600" w:lineRule="exact"/>
        <w:rPr>
          <w:rFonts w:hint="eastAsia"/>
          <w:color w:val="auto"/>
          <w:highlight w:val="none"/>
          <w:lang w:eastAsia="zh-CN"/>
        </w:rPr>
        <w:sectPr>
          <w:footerReference r:id="rId3" w:type="default"/>
          <w:pgSz w:w="11906" w:h="16838"/>
          <w:pgMar w:top="1247" w:right="1304" w:bottom="1247" w:left="1304" w:header="851" w:footer="992" w:gutter="0"/>
          <w:cols w:space="720" w:num="1"/>
          <w:docGrid w:type="lines" w:linePitch="312" w:charSpace="0"/>
        </w:sectPr>
      </w:pPr>
    </w:p>
    <w:p>
      <w:pPr>
        <w:pStyle w:val="2"/>
        <w:keepNext/>
        <w:keepLines/>
        <w:tabs>
          <w:tab w:val="left" w:pos="0"/>
          <w:tab w:val="left" w:pos="3165"/>
          <w:tab w:val="center" w:pos="4153"/>
        </w:tabs>
        <w:autoSpaceDE w:val="0"/>
        <w:autoSpaceDN w:val="0"/>
        <w:adjustRightInd w:val="0"/>
        <w:snapToGrid w:val="0"/>
        <w:spacing w:line="360" w:lineRule="auto"/>
        <w:jc w:val="center"/>
        <w:rPr>
          <w:rFonts w:hint="default" w:ascii="华文中宋" w:hAnsi="华文中宋" w:eastAsia="华文中宋" w:cs="Times New Roman"/>
          <w:b/>
          <w:bCs/>
          <w:color w:val="auto"/>
          <w:kern w:val="44"/>
          <w:highlight w:val="none"/>
          <w:u w:val="none"/>
          <w:lang w:val="en-US" w:eastAsia="zh-CN"/>
        </w:rPr>
      </w:pPr>
      <w:bookmarkStart w:id="0" w:name="_TOC_250006"/>
      <w:r>
        <w:rPr>
          <w:rFonts w:hint="eastAsia" w:ascii="华文中宋" w:hAnsi="华文中宋" w:eastAsia="华文中宋" w:cs="Times New Roman"/>
          <w:b/>
          <w:bCs/>
          <w:color w:val="auto"/>
          <w:kern w:val="44"/>
          <w:highlight w:val="none"/>
          <w:u w:val="none"/>
          <w:lang w:eastAsia="zh-CN"/>
        </w:rPr>
        <w:t>第一章</w:t>
      </w:r>
      <w:bookmarkEnd w:id="0"/>
      <w:r>
        <w:rPr>
          <w:rFonts w:hint="eastAsia" w:ascii="华文中宋" w:hAnsi="华文中宋" w:eastAsia="华文中宋" w:cs="Times New Roman"/>
          <w:b/>
          <w:bCs/>
          <w:color w:val="auto"/>
          <w:kern w:val="44"/>
          <w:highlight w:val="none"/>
          <w:u w:val="none"/>
          <w:lang w:eastAsia="zh-CN"/>
        </w:rPr>
        <w:t xml:space="preserve">  </w:t>
      </w:r>
      <w:r>
        <w:rPr>
          <w:rFonts w:hint="eastAsia" w:ascii="华文中宋" w:hAnsi="华文中宋" w:eastAsia="华文中宋" w:cs="Times New Roman"/>
          <w:b/>
          <w:bCs/>
          <w:color w:val="auto"/>
          <w:kern w:val="44"/>
          <w:highlight w:val="none"/>
          <w:u w:val="none"/>
          <w:lang w:val="en-US" w:eastAsia="zh-CN"/>
        </w:rPr>
        <w:t>遴选公告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eastAsia" w:ascii="仿宋_GB2312" w:hAnsi="仿宋_GB2312" w:eastAsia="仿宋_GB2312" w:cs="仿宋_GB2312"/>
          <w:color w:val="auto"/>
          <w:sz w:val="32"/>
          <w:szCs w:val="32"/>
          <w:highlight w:val="none"/>
        </w:rPr>
      </w:pPr>
      <w:bookmarkStart w:id="1" w:name="_Toc28359085"/>
      <w:bookmarkStart w:id="2" w:name="_Toc35393796"/>
      <w:bookmarkStart w:id="3" w:name="_Toc28359008"/>
      <w:bookmarkStart w:id="4" w:name="_Toc35393627"/>
      <w:r>
        <w:rPr>
          <w:rFonts w:hint="eastAsia" w:ascii="仿宋_GB2312" w:hAnsi="仿宋_GB2312" w:eastAsia="仿宋_GB2312" w:cs="仿宋_GB2312"/>
          <w:color w:val="auto"/>
          <w:kern w:val="0"/>
          <w:sz w:val="32"/>
          <w:szCs w:val="32"/>
          <w:highlight w:val="none"/>
          <w:lang w:val="en-US" w:eastAsia="zh-CN" w:bidi="ar"/>
        </w:rPr>
        <w:t>为加快推进公共数据资源开发利用，规范公共数据资源授权运营管理，培育数据要素市场，释放数据要素价值，赋能铜陵数字经济高质量发展，根据</w:t>
      </w:r>
      <w:r>
        <w:rPr>
          <w:rFonts w:hint="default" w:ascii="Times New Roman" w:hAnsi="Times New Roman" w:eastAsia="仿宋_GB2312" w:cs="Times New Roman"/>
          <w:color w:val="auto"/>
          <w:sz w:val="32"/>
          <w:szCs w:val="32"/>
          <w:highlight w:val="none"/>
        </w:rPr>
        <w:t>《中共安徽省委办公厅、安徽省人民政府办公厅关于印发〈深化公共数据资源开发利用若干举措〉的通知》</w:t>
      </w:r>
      <w:r>
        <w:rPr>
          <w:rFonts w:hint="eastAsia" w:ascii="仿宋_GB2312" w:hAnsi="仿宋_GB2312" w:eastAsia="仿宋_GB2312" w:cs="仿宋_GB2312"/>
          <w:color w:val="auto"/>
          <w:kern w:val="0"/>
          <w:sz w:val="32"/>
          <w:szCs w:val="32"/>
          <w:highlight w:val="none"/>
          <w:lang w:val="en-US" w:eastAsia="zh-CN" w:bidi="ar"/>
        </w:rPr>
        <w:t>、《安徽省公共数据资源授权运营实施细则（试行）》以及《铜陵市公共数据资源授权运营实施方案》等文件规定，现就开展铜陵市公共数据资源授权运营机构遴选工作公告如下。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right="0"/>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一、授权运营模式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本次公共数据资源授权运营采用“整体授权+分领域协同”模式，建立健全“运营机构+合伙人”开发机制。将全市纳入授权运营范围的公共数据资源，授权符合条件的运营机构开展公共数据资源开发、产品经营和技术服务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right="0"/>
        <w:jc w:val="left"/>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二、授权运营内容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楷体_GB2312" w:hAnsi="楷体_GB2312" w:eastAsia="楷体_GB2312" w:cs="楷体_GB2312"/>
          <w:color w:val="auto"/>
          <w:sz w:val="32"/>
          <w:szCs w:val="32"/>
          <w:highlight w:val="none"/>
          <w:lang w:eastAsia="zh-CN"/>
        </w:rPr>
      </w:pPr>
      <w:r>
        <w:rPr>
          <w:rFonts w:hint="eastAsia" w:ascii="楷体_GB2312" w:hAnsi="楷体_GB2312" w:eastAsia="楷体_GB2312" w:cs="楷体_GB2312"/>
          <w:color w:val="auto"/>
          <w:sz w:val="32"/>
          <w:szCs w:val="32"/>
          <w:highlight w:val="none"/>
        </w:rPr>
        <w:t>（一）工作内容</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对授权范围内的公共数据资源</w:t>
      </w:r>
      <w:r>
        <w:rPr>
          <w:rFonts w:hint="eastAsia" w:ascii="仿宋_GB2312" w:hAnsi="仿宋_GB2312" w:eastAsia="仿宋_GB2312" w:cs="仿宋_GB2312"/>
          <w:color w:val="auto"/>
          <w:sz w:val="32"/>
          <w:szCs w:val="32"/>
          <w:highlight w:val="none"/>
          <w:lang w:eastAsia="zh-CN"/>
        </w:rPr>
        <w:t>进行</w:t>
      </w:r>
      <w:r>
        <w:rPr>
          <w:rFonts w:hint="eastAsia" w:ascii="仿宋_GB2312" w:hAnsi="仿宋_GB2312" w:eastAsia="仿宋_GB2312" w:cs="仿宋_GB2312"/>
          <w:color w:val="auto"/>
          <w:sz w:val="32"/>
          <w:szCs w:val="32"/>
          <w:highlight w:val="none"/>
        </w:rPr>
        <w:t>开发治理，建立公共数据产品和服务能力清单，公开公共数据资源使用情况，接受社会监督。</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依法依规开展业务，按照公共数据资源登记管理要求登记公共数据产品和服务。</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根据实际需求建设或提供用于公共数据资源开发的技术支撑工具和运营管理工具，提高数据加工、处理、运营、服务能力。</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加强内控管理、技术管理和人员管理，通过管理和技术措施，加强数据关联汇聚风险识别和管控，保护公共数据安全。</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5.制定</w:t>
      </w:r>
      <w:r>
        <w:rPr>
          <w:rFonts w:hint="eastAsia" w:ascii="仿宋_GB2312" w:hAnsi="仿宋_GB2312" w:eastAsia="仿宋_GB2312" w:cs="仿宋_GB2312"/>
          <w:color w:val="auto"/>
          <w:sz w:val="32"/>
          <w:szCs w:val="32"/>
          <w:highlight w:val="none"/>
        </w:rPr>
        <w:t>合伙人准入条件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管理</w:t>
      </w:r>
      <w:r>
        <w:rPr>
          <w:rFonts w:hint="eastAsia" w:ascii="仿宋_GB2312" w:hAnsi="仿宋_GB2312" w:eastAsia="仿宋_GB2312" w:cs="仿宋_GB2312"/>
          <w:color w:val="auto"/>
          <w:sz w:val="32"/>
          <w:szCs w:val="32"/>
          <w:highlight w:val="none"/>
          <w:lang w:eastAsia="zh-CN"/>
        </w:rPr>
        <w:t>规则</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在</w:t>
      </w:r>
      <w:r>
        <w:rPr>
          <w:rFonts w:hint="eastAsia" w:ascii="仿宋_GB2312" w:hAnsi="仿宋_GB2312" w:eastAsia="仿宋_GB2312" w:cs="仿宋_GB2312"/>
          <w:color w:val="auto"/>
          <w:sz w:val="32"/>
          <w:szCs w:val="32"/>
          <w:highlight w:val="none"/>
        </w:rPr>
        <w:t>公共数据资源使用</w:t>
      </w:r>
      <w:r>
        <w:rPr>
          <w:rFonts w:hint="eastAsia" w:ascii="仿宋_GB2312" w:hAnsi="仿宋_GB2312" w:eastAsia="仿宋_GB2312" w:cs="仿宋_GB2312"/>
          <w:color w:val="auto"/>
          <w:sz w:val="32"/>
          <w:szCs w:val="32"/>
          <w:highlight w:val="none"/>
          <w:lang w:eastAsia="zh-CN"/>
        </w:rPr>
        <w:t>授权范围内开展</w:t>
      </w:r>
      <w:r>
        <w:rPr>
          <w:rFonts w:hint="eastAsia" w:ascii="仿宋_GB2312" w:hAnsi="仿宋_GB2312" w:eastAsia="仿宋_GB2312" w:cs="仿宋_GB2312"/>
          <w:color w:val="auto"/>
          <w:sz w:val="32"/>
          <w:szCs w:val="32"/>
          <w:highlight w:val="none"/>
        </w:rPr>
        <w:t>数据加工、处理、运营、服务</w:t>
      </w:r>
      <w:r>
        <w:rPr>
          <w:rFonts w:hint="eastAsia" w:ascii="仿宋_GB2312" w:hAnsi="仿宋_GB2312" w:eastAsia="仿宋_GB2312" w:cs="仿宋_GB2312"/>
          <w:color w:val="auto"/>
          <w:sz w:val="32"/>
          <w:szCs w:val="32"/>
          <w:highlight w:val="none"/>
          <w:lang w:eastAsia="zh-CN"/>
        </w:rPr>
        <w:t>等工作</w:t>
      </w:r>
      <w:r>
        <w:rPr>
          <w:rFonts w:hint="eastAsia" w:ascii="仿宋_GB2312" w:hAnsi="仿宋_GB2312" w:eastAsia="仿宋_GB2312" w:cs="仿宋_GB2312"/>
          <w:color w:val="auto"/>
          <w:sz w:val="32"/>
          <w:szCs w:val="32"/>
          <w:highlight w:val="none"/>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（二）制度保障</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right="0" w:rightChars="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建立健全全流程数据安全管理制度，将安全管理贯穿公共数据资产运营全过程，完善安全防护、监测预警机制，实现数据来源可溯、去向可查、行为留痕、责任可究。</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rightChars="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完善公共数据授权运营配套管理制度，强化数据治理、提升数据质量，落实数据分级分类管理，夯实技术支撑保障体系。</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right="0" w:rightChars="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建立审查评估管理机制，对合作开发主体的资质能力、业务需求合理性、应用场景合规性、数据安全风险性开展常态化审查评估。</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rightChars="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落实公共数据资源目录动态管理机制，动态更新维护目录信息。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（三）技术保障</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right="0" w:rightChars="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建设安全可控的数据开发利用环境，部署经过测试认证的专业化数据开发、运营管理工具；推广安全可信流通技术，保障公共数据开发利用全过程可管、可控、可追溯。</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right="0" w:rightChars="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采用访问控制、数据沙箱、智能合约、隐私计算、高性能密态计算等合规可信技术开展公共数据加工处理，对外输出公共数据产品与服务。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right="0"/>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三、授权运营期限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本次公共数据资源授权运营</w:t>
      </w:r>
      <w:r>
        <w:rPr>
          <w:rFonts w:hint="eastAsia" w:ascii="仿宋_GB2312" w:hAnsi="仿宋_GB2312" w:eastAsia="仿宋_GB2312" w:cs="仿宋_GB2312"/>
          <w:color w:val="auto"/>
          <w:sz w:val="32"/>
          <w:szCs w:val="32"/>
          <w:highlight w:val="none"/>
          <w:lang w:val="en-US" w:eastAsia="zh-CN"/>
        </w:rPr>
        <w:t>期限为5年。授权期满按照</w:t>
      </w:r>
      <w:r>
        <w:rPr>
          <w:rFonts w:hint="eastAsia" w:ascii="仿宋_GB2312" w:hAnsi="仿宋_GB2312" w:eastAsia="仿宋_GB2312" w:cs="仿宋_GB2312"/>
          <w:color w:val="auto"/>
          <w:kern w:val="0"/>
          <w:sz w:val="32"/>
          <w:szCs w:val="32"/>
          <w:highlight w:val="none"/>
          <w:lang w:val="en-US" w:eastAsia="zh-CN" w:bidi="ar"/>
        </w:rPr>
        <w:t>政策要求开展综合评估，按规定开展续期或重新遴选工作。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right="0"/>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四、申请条件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申报单位须同时满足以下全部条件：</w:t>
      </w:r>
    </w:p>
    <w:p>
      <w:pPr>
        <w:keepNext w:val="0"/>
        <w:keepLines w:val="0"/>
        <w:pageBreakBefore w:val="0"/>
        <w:widowControl w:val="0"/>
        <w:kinsoku/>
        <w:wordWrap/>
        <w:overflowPunct/>
        <w:topLinePunct w:val="0"/>
        <w:autoSpaceDE/>
        <w:autoSpaceDN/>
        <w:bidi w:val="0"/>
        <w:adjustRightInd/>
        <w:snapToGrid/>
        <w:spacing w:after="0" w:line="540" w:lineRule="atLeast"/>
        <w:ind w:left="0" w:leftChars="0" w:firstLine="640" w:firstLineChars="200"/>
        <w:textAlignment w:val="auto"/>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1.满足《中华人民共和国政府采购法》第二十二条规定；</w:t>
      </w:r>
    </w:p>
    <w:p>
      <w:pPr>
        <w:keepNext w:val="0"/>
        <w:keepLines w:val="0"/>
        <w:pageBreakBefore w:val="0"/>
        <w:widowControl w:val="0"/>
        <w:kinsoku/>
        <w:wordWrap/>
        <w:overflowPunct/>
        <w:topLinePunct w:val="0"/>
        <w:autoSpaceDE/>
        <w:autoSpaceDN/>
        <w:bidi w:val="0"/>
        <w:adjustRightInd/>
        <w:snapToGrid/>
        <w:spacing w:after="0" w:line="540" w:lineRule="atLeast"/>
        <w:ind w:left="0" w:leftChars="0" w:firstLine="640" w:firstLineChars="200"/>
        <w:textAlignment w:val="auto"/>
        <w:rPr>
          <w:rFonts w:hint="default"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2.</w:t>
      </w:r>
      <w:r>
        <w:rPr>
          <w:rFonts w:hint="default" w:ascii="Times New Roman" w:hAnsi="Times New Roman" w:eastAsia="仿宋_GB2312" w:cs="Times New Roman"/>
          <w:color w:val="auto"/>
          <w:kern w:val="0"/>
          <w:sz w:val="32"/>
          <w:szCs w:val="32"/>
          <w:highlight w:val="none"/>
          <w:lang w:val="en-US" w:eastAsia="zh-CN" w:bidi="ar-SA"/>
        </w:rPr>
        <w:t>经营状况和信用状况良好，具备长期运营的财务实力，能够承担授权运营前期投入和后续运营成本，单位及其法定代表人、主要负责人无重大违法记录，未被列入失信被执行人名单或重大税收违法案件当事人名单</w:t>
      </w:r>
      <w:r>
        <w:rPr>
          <w:rFonts w:hint="eastAsia" w:ascii="Times New Roman" w:hAnsi="Times New Roman" w:eastAsia="仿宋_GB2312" w:cs="Times New Roman"/>
          <w:color w:val="auto"/>
          <w:kern w:val="0"/>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after="0" w:line="540" w:lineRule="atLeast"/>
        <w:ind w:left="0" w:leftChars="0" w:firstLine="640" w:firstLineChars="200"/>
        <w:textAlignment w:val="auto"/>
        <w:rPr>
          <w:rFonts w:hint="default"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3.</w:t>
      </w:r>
      <w:r>
        <w:rPr>
          <w:rFonts w:hint="default" w:ascii="Times New Roman" w:hAnsi="Times New Roman" w:eastAsia="仿宋_GB2312" w:cs="Times New Roman"/>
          <w:color w:val="auto"/>
          <w:kern w:val="0"/>
          <w:sz w:val="32"/>
          <w:szCs w:val="32"/>
          <w:highlight w:val="none"/>
          <w:lang w:val="en-US" w:eastAsia="zh-CN" w:bidi="ar-SA"/>
        </w:rPr>
        <w:t>熟悉了解国家和省、市公共数据资源管理、开发利用相关法律法规、政策文件及标准规范，具备较强的生态运营能力，能够引入多元数商和社会数据资源</w:t>
      </w:r>
      <w:r>
        <w:rPr>
          <w:rFonts w:hint="eastAsia" w:ascii="Times New Roman" w:hAnsi="Times New Roman" w:eastAsia="仿宋_GB2312" w:cs="Times New Roman"/>
          <w:color w:val="auto"/>
          <w:kern w:val="0"/>
          <w:sz w:val="32"/>
          <w:szCs w:val="32"/>
          <w:highlight w:val="none"/>
          <w:lang w:val="en-US" w:eastAsia="zh-CN" w:bidi="ar-SA"/>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4.</w:t>
      </w:r>
      <w:r>
        <w:rPr>
          <w:rFonts w:hint="default" w:ascii="仿宋_GB2312" w:hAnsi="仿宋_GB2312" w:eastAsia="仿宋_GB2312" w:cs="仿宋_GB2312"/>
          <w:color w:val="auto"/>
          <w:kern w:val="0"/>
          <w:sz w:val="32"/>
          <w:szCs w:val="32"/>
          <w:highlight w:val="none"/>
          <w:lang w:val="en-US" w:eastAsia="zh-CN" w:bidi="ar"/>
        </w:rPr>
        <w:t>具备数据安全管理的环境和条件</w:t>
      </w:r>
      <w:r>
        <w:rPr>
          <w:rFonts w:hint="eastAsia" w:ascii="仿宋_GB2312" w:hAnsi="仿宋_GB2312" w:eastAsia="仿宋_GB2312" w:cs="仿宋_GB2312"/>
          <w:color w:val="auto"/>
          <w:kern w:val="0"/>
          <w:sz w:val="32"/>
          <w:szCs w:val="32"/>
          <w:highlight w:val="none"/>
          <w:lang w:val="en-US" w:eastAsia="zh-CN" w:bidi="ar"/>
        </w:rPr>
        <w:t>；</w:t>
      </w:r>
      <w:r>
        <w:rPr>
          <w:rFonts w:hint="default" w:ascii="仿宋_GB2312" w:hAnsi="仿宋_GB2312" w:eastAsia="仿宋_GB2312" w:cs="仿宋_GB2312"/>
          <w:color w:val="auto"/>
          <w:kern w:val="0"/>
          <w:sz w:val="32"/>
          <w:szCs w:val="32"/>
          <w:highlight w:val="none"/>
          <w:lang w:val="en-US" w:eastAsia="zh-CN" w:bidi="ar"/>
        </w:rPr>
        <w:t>能够</w:t>
      </w:r>
      <w:r>
        <w:rPr>
          <w:rFonts w:hint="eastAsia" w:ascii="仿宋_GB2312" w:hAnsi="仿宋_GB2312" w:eastAsia="仿宋_GB2312" w:cs="仿宋_GB2312"/>
          <w:color w:val="auto"/>
          <w:kern w:val="0"/>
          <w:sz w:val="32"/>
          <w:szCs w:val="32"/>
          <w:highlight w:val="none"/>
          <w:lang w:val="en-US" w:eastAsia="zh-CN" w:bidi="ar"/>
        </w:rPr>
        <w:t>积极</w:t>
      </w:r>
      <w:r>
        <w:rPr>
          <w:rFonts w:hint="default" w:ascii="仿宋_GB2312" w:hAnsi="仿宋_GB2312" w:eastAsia="仿宋_GB2312" w:cs="仿宋_GB2312"/>
          <w:color w:val="auto"/>
          <w:kern w:val="0"/>
          <w:sz w:val="32"/>
          <w:szCs w:val="32"/>
          <w:highlight w:val="none"/>
          <w:lang w:val="en-US" w:eastAsia="zh-CN" w:bidi="ar"/>
        </w:rPr>
        <w:t>配合</w:t>
      </w:r>
      <w:r>
        <w:rPr>
          <w:rFonts w:hint="eastAsia" w:ascii="仿宋_GB2312" w:hAnsi="仿宋_GB2312" w:eastAsia="仿宋_GB2312" w:cs="仿宋_GB2312"/>
          <w:color w:val="auto"/>
          <w:kern w:val="0"/>
          <w:sz w:val="32"/>
          <w:szCs w:val="32"/>
          <w:highlight w:val="none"/>
          <w:lang w:val="en-US" w:eastAsia="zh-CN" w:bidi="ar"/>
        </w:rPr>
        <w:t>数据资源管理部门</w:t>
      </w:r>
      <w:r>
        <w:rPr>
          <w:rFonts w:hint="default" w:ascii="仿宋_GB2312" w:hAnsi="仿宋_GB2312" w:eastAsia="仿宋_GB2312" w:cs="仿宋_GB2312"/>
          <w:color w:val="auto"/>
          <w:kern w:val="0"/>
          <w:sz w:val="32"/>
          <w:szCs w:val="32"/>
          <w:highlight w:val="none"/>
          <w:lang w:val="en-US" w:eastAsia="zh-CN" w:bidi="ar"/>
        </w:rPr>
        <w:t>开展监管，及时响应监管要求。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right="0"/>
        <w:jc w:val="left"/>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val="en-US" w:eastAsia="zh-CN"/>
        </w:rPr>
        <w:t>五</w:t>
      </w:r>
      <w:r>
        <w:rPr>
          <w:rFonts w:hint="eastAsia" w:ascii="黑体" w:hAnsi="黑体" w:eastAsia="黑体" w:cs="黑体"/>
          <w:b w:val="0"/>
          <w:bCs w:val="0"/>
          <w:color w:val="auto"/>
          <w:sz w:val="32"/>
          <w:szCs w:val="32"/>
          <w:highlight w:val="none"/>
        </w:rPr>
        <w:t>、申请时间及递交方式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时间：2026年08月27日至2026年09月07日，每天上午9:00至11:00，下午15:00至17:00（北京时间，法定节假日除外）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地点：安徽同升工程管理咨询有限责任公司（详细地址：安徽省铜陵市太平湖路470号20栋326、426号）。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default"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方式：潜在投标人查阅遴选文件后，如参与投标，可在网站上自行下载遴选文件，并将投标单位介绍信或授权委托书扫描件直接发送至2955395894@qq.com。</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遴选文件如有修正，将在铜陵市数据资源管理局网、安徽同升工程管理咨询有限责任公司</w:t>
      </w:r>
      <w:r>
        <w:rPr>
          <w:rFonts w:hint="eastAsia" w:ascii="仿宋_GB2312" w:hAnsi="仿宋_GB2312" w:eastAsia="仿宋_GB2312" w:cs="仿宋_GB2312"/>
          <w:color w:val="auto"/>
          <w:kern w:val="0"/>
          <w:sz w:val="32"/>
          <w:szCs w:val="32"/>
          <w:highlight w:val="none"/>
          <w:lang w:val="zh-CN" w:eastAsia="zh-CN" w:bidi="ar"/>
        </w:rPr>
        <w:t>网站</w:t>
      </w:r>
      <w:r>
        <w:rPr>
          <w:rFonts w:hint="eastAsia" w:ascii="仿宋_GB2312" w:hAnsi="仿宋_GB2312" w:eastAsia="仿宋_GB2312" w:cs="仿宋_GB2312"/>
          <w:color w:val="auto"/>
          <w:kern w:val="0"/>
          <w:sz w:val="32"/>
          <w:szCs w:val="32"/>
          <w:highlight w:val="none"/>
          <w:lang w:val="en-US" w:eastAsia="zh-CN" w:bidi="ar"/>
        </w:rPr>
        <w:t>上公布，与本遴选文件具有同等效力。请各投标人注意该网站中的信息发布内容，如因供应商自身原因未了解公告、答疑等信息的，责任自负。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right="0"/>
        <w:jc w:val="left"/>
        <w:textAlignment w:val="auto"/>
        <w:rPr>
          <w:rFonts w:hint="eastAsia"/>
          <w:color w:val="auto"/>
          <w:highlight w:val="none"/>
        </w:rPr>
      </w:pPr>
      <w:r>
        <w:rPr>
          <w:rFonts w:hint="eastAsia" w:ascii="黑体" w:hAnsi="黑体" w:eastAsia="黑体" w:cs="黑体"/>
          <w:b w:val="0"/>
          <w:bCs w:val="0"/>
          <w:color w:val="auto"/>
          <w:sz w:val="32"/>
          <w:szCs w:val="32"/>
          <w:highlight w:val="none"/>
          <w:lang w:val="en-US" w:eastAsia="zh-CN"/>
        </w:rPr>
        <w:t>六、投标文件提交、开启及确定运营机构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时间：2026年09月07日15时30分（北京时间）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地点：安徽同升工程管理咨询有限责任公司四楼开标室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由市数据资源管理局会同遴选代理机构组织行业专家，采取综合评分评审方式对投标开展评审，择优确定拟入选运营机构。拟入选机构名单在铜陵市数据资源管理局网、安徽同升工程管理咨询有限责任公司</w:t>
      </w:r>
      <w:r>
        <w:rPr>
          <w:rFonts w:hint="eastAsia" w:ascii="仿宋_GB2312" w:hAnsi="仿宋_GB2312" w:eastAsia="仿宋_GB2312" w:cs="仿宋_GB2312"/>
          <w:color w:val="auto"/>
          <w:kern w:val="0"/>
          <w:sz w:val="32"/>
          <w:szCs w:val="32"/>
          <w:highlight w:val="none"/>
          <w:lang w:val="zh-CN" w:eastAsia="zh-CN" w:bidi="ar"/>
        </w:rPr>
        <w:t>网站</w:t>
      </w:r>
      <w:r>
        <w:rPr>
          <w:rFonts w:hint="eastAsia" w:ascii="仿宋_GB2312" w:hAnsi="仿宋_GB2312" w:eastAsia="仿宋_GB2312" w:cs="仿宋_GB2312"/>
          <w:color w:val="auto"/>
          <w:kern w:val="0"/>
          <w:sz w:val="32"/>
          <w:szCs w:val="32"/>
          <w:highlight w:val="none"/>
          <w:lang w:val="en-US" w:eastAsia="zh-CN" w:bidi="ar"/>
        </w:rPr>
        <w:t>进行公示。公示无异议后，由铜陵市数据资源管理局会同相关单位与运营机构正式签订《公共数据资源授权运营协议》。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right="0"/>
        <w:jc w:val="left"/>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val="en-US" w:eastAsia="zh-CN"/>
        </w:rPr>
        <w:t>七</w:t>
      </w:r>
      <w:r>
        <w:rPr>
          <w:rFonts w:hint="eastAsia" w:ascii="黑体" w:hAnsi="黑体" w:eastAsia="黑体" w:cs="黑体"/>
          <w:b w:val="0"/>
          <w:bCs w:val="0"/>
          <w:color w:val="auto"/>
          <w:sz w:val="32"/>
          <w:szCs w:val="32"/>
          <w:highlight w:val="none"/>
        </w:rPr>
        <w:t>、其他事项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default"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本次公告同时在铜陵市数据资源管理局网</w:t>
      </w:r>
      <w:r>
        <w:rPr>
          <w:rFonts w:hint="eastAsia" w:ascii="仿宋_GB2312" w:hAnsi="仿宋_GB2312" w:eastAsia="仿宋_GB2312" w:cs="仿宋_GB2312"/>
          <w:color w:val="auto"/>
          <w:kern w:val="0"/>
          <w:sz w:val="32"/>
          <w:szCs w:val="32"/>
          <w:highlight w:val="none"/>
          <w:lang w:val="zh-CN" w:eastAsia="zh-CN" w:bidi="ar"/>
        </w:rPr>
        <w:t>、</w:t>
      </w:r>
      <w:r>
        <w:rPr>
          <w:rFonts w:hint="eastAsia" w:ascii="仿宋_GB2312" w:hAnsi="仿宋_GB2312" w:eastAsia="仿宋_GB2312" w:cs="仿宋_GB2312"/>
          <w:color w:val="auto"/>
          <w:kern w:val="0"/>
          <w:sz w:val="32"/>
          <w:szCs w:val="32"/>
          <w:highlight w:val="none"/>
          <w:lang w:val="en-US" w:eastAsia="zh-CN" w:bidi="ar"/>
        </w:rPr>
        <w:t>安徽同升工程管理咨询有限责任公司</w:t>
      </w:r>
      <w:r>
        <w:rPr>
          <w:rFonts w:hint="eastAsia" w:ascii="仿宋_GB2312" w:hAnsi="仿宋_GB2312" w:eastAsia="仿宋_GB2312" w:cs="仿宋_GB2312"/>
          <w:color w:val="auto"/>
          <w:kern w:val="0"/>
          <w:sz w:val="32"/>
          <w:szCs w:val="32"/>
          <w:highlight w:val="none"/>
          <w:lang w:val="zh-CN" w:eastAsia="zh-CN" w:bidi="ar"/>
        </w:rPr>
        <w:t>网站</w:t>
      </w:r>
      <w:r>
        <w:rPr>
          <w:rFonts w:hint="eastAsia" w:ascii="仿宋_GB2312" w:hAnsi="仿宋_GB2312" w:eastAsia="仿宋_GB2312" w:cs="仿宋_GB2312"/>
          <w:color w:val="auto"/>
          <w:kern w:val="0"/>
          <w:sz w:val="32"/>
          <w:szCs w:val="32"/>
          <w:highlight w:val="none"/>
          <w:lang w:val="en-US" w:eastAsia="zh-CN" w:bidi="ar"/>
        </w:rPr>
        <w:t>发布。另：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1.申报单位对提交全部申请材料的真实性、合法性、完整性承担全部责任。如存在弄虚作假、提供虚假材料，一经查实立即取消申报资格，记入相关信用记录。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2.本公告未尽事宜，遵照《安徽省公共数据资源授权运营实施细则（试行）》、《铜陵市公共数据资源授权运营实施方案》等政策要求执行。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right="0"/>
        <w:jc w:val="left"/>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八、对本次遴选提出询问，请按以下方式联系。</w:t>
      </w:r>
      <w:bookmarkEnd w:id="1"/>
      <w:bookmarkEnd w:id="2"/>
      <w:bookmarkEnd w:id="3"/>
      <w:bookmarkEnd w:id="4"/>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bookmarkStart w:id="5" w:name="_TOC_250005"/>
      <w:bookmarkEnd w:id="5"/>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1.采购人信息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名  称：铜陵市数据资源管理局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地  址：铜陵市湖东路666号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联系人：李先生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联系方式：0562-5880004</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2.采购代理机构信息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名  称：安徽同升工程管理咨询有限责任公司</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地  址：铜陵市天山大道绿源大市场二期20#楼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联系人：胡工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atLeast"/>
        <w:ind w:left="0" w:right="0" w:firstLine="640" w:firstLineChars="200"/>
        <w:jc w:val="left"/>
        <w:textAlignment w:val="auto"/>
        <w:rPr>
          <w:rFonts w:hint="default"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联系方式：0562-2828170/18095629879</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color w:val="auto"/>
          <w:highlight w:val="none"/>
          <w:lang w:eastAsia="zh-CN"/>
        </w:rPr>
      </w:pPr>
      <w:r>
        <w:rPr>
          <w:rFonts w:hint="eastAsia" w:ascii="仿宋_GB2312" w:hAnsi="仿宋_GB2312" w:eastAsia="仿宋_GB2312" w:cs="仿宋_GB2312"/>
          <w:color w:val="auto"/>
          <w:kern w:val="0"/>
          <w:sz w:val="32"/>
          <w:szCs w:val="32"/>
          <w:highlight w:val="none"/>
          <w:lang w:val="en-US" w:eastAsia="zh-CN" w:bidi="ar"/>
        </w:rPr>
        <w:br w:type="page"/>
      </w:r>
    </w:p>
    <w:p>
      <w:pPr>
        <w:pStyle w:val="8"/>
        <w:ind w:left="0" w:leftChars="0" w:firstLine="0" w:firstLineChars="0"/>
        <w:rPr>
          <w:rFonts w:hint="eastAsia"/>
          <w:color w:val="auto"/>
          <w:highlight w:val="none"/>
          <w:lang w:eastAsia="zh-CN"/>
        </w:rPr>
      </w:pPr>
    </w:p>
    <w:p>
      <w:pPr>
        <w:pStyle w:val="2"/>
        <w:numPr>
          <w:ilvl w:val="0"/>
          <w:numId w:val="1"/>
        </w:numPr>
        <w:tabs>
          <w:tab w:val="left" w:pos="1622"/>
        </w:tabs>
        <w:adjustRightInd w:val="0"/>
        <w:snapToGrid w:val="0"/>
        <w:spacing w:line="360" w:lineRule="auto"/>
        <w:ind w:right="9"/>
        <w:jc w:val="center"/>
        <w:rPr>
          <w:rFonts w:hint="eastAsia"/>
          <w:b/>
          <w:bCs/>
          <w:color w:val="auto"/>
          <w:sz w:val="32"/>
          <w:szCs w:val="32"/>
          <w:highlight w:val="none"/>
        </w:rPr>
      </w:pPr>
      <w:r>
        <w:rPr>
          <w:rFonts w:hint="eastAsia"/>
          <w:b/>
          <w:bCs/>
          <w:color w:val="auto"/>
          <w:sz w:val="32"/>
          <w:szCs w:val="32"/>
          <w:highlight w:val="none"/>
        </w:rPr>
        <w:t>投标人须知</w:t>
      </w:r>
    </w:p>
    <w:p>
      <w:pPr>
        <w:pStyle w:val="4"/>
        <w:adjustRightInd w:val="0"/>
        <w:snapToGrid w:val="0"/>
        <w:spacing w:line="360" w:lineRule="auto"/>
        <w:ind w:firstLine="3614" w:firstLineChars="1500"/>
        <w:rPr>
          <w:rFonts w:hint="eastAsia"/>
          <w:b/>
          <w:bCs/>
          <w:color w:val="auto"/>
          <w:sz w:val="24"/>
          <w:szCs w:val="24"/>
          <w:highlight w:val="none"/>
        </w:rPr>
      </w:pPr>
      <w:r>
        <w:rPr>
          <w:rFonts w:hint="eastAsia"/>
          <w:b/>
          <w:bCs/>
          <w:color w:val="auto"/>
          <w:sz w:val="24"/>
          <w:szCs w:val="24"/>
          <w:highlight w:val="none"/>
          <w:lang w:eastAsia="zh-CN"/>
        </w:rPr>
        <w:t>一、投标人须知前附表</w:t>
      </w:r>
    </w:p>
    <w:p>
      <w:pPr>
        <w:pStyle w:val="8"/>
        <w:adjustRightInd w:val="0"/>
        <w:snapToGrid w:val="0"/>
        <w:spacing w:before="0" w:line="360" w:lineRule="auto"/>
        <w:ind w:firstLine="480" w:firstLineChars="200"/>
        <w:jc w:val="both"/>
        <w:rPr>
          <w:rFonts w:hint="eastAsia" w:ascii="仿宋" w:hAnsi="仿宋" w:eastAsia="仿宋" w:cs="仿宋"/>
          <w:color w:val="auto"/>
          <w:sz w:val="28"/>
          <w:szCs w:val="28"/>
          <w:highlight w:val="none"/>
          <w:lang w:eastAsia="zh-CN"/>
        </w:rPr>
      </w:pPr>
      <w:r>
        <w:rPr>
          <w:rFonts w:hint="eastAsia"/>
          <w:color w:val="auto"/>
          <w:kern w:val="2"/>
          <w:highlight w:val="none"/>
          <w:lang w:eastAsia="zh-CN"/>
        </w:rPr>
        <w:t>注：本表是本项目的具体要求，是对投标人须知的具体补充和修改，如有不一致，以本表为准。</w:t>
      </w:r>
    </w:p>
    <w:tbl>
      <w:tblPr>
        <w:tblStyle w:val="24"/>
        <w:tblW w:w="974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87"/>
        <w:gridCol w:w="1933"/>
        <w:gridCol w:w="692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blHeader/>
          <w:jc w:val="center"/>
        </w:trPr>
        <w:tc>
          <w:tcPr>
            <w:tcW w:w="887"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center"/>
              <w:rPr>
                <w:rFonts w:hint="eastAsia" w:ascii="宋体" w:hAnsi="宋体" w:eastAsia="宋体"/>
                <w:color w:val="auto"/>
                <w:kern w:val="2"/>
                <w:highlight w:val="none"/>
                <w:lang w:val="zh-CN" w:eastAsia="zh-CN"/>
              </w:rPr>
            </w:pPr>
            <w:r>
              <w:rPr>
                <w:rFonts w:hint="eastAsia" w:ascii="宋体" w:hAnsi="宋体" w:eastAsia="宋体"/>
                <w:color w:val="auto"/>
                <w:kern w:val="2"/>
                <w:highlight w:val="none"/>
                <w:lang w:val="zh-CN" w:eastAsia="zh-CN"/>
              </w:rPr>
              <w:t>序号</w:t>
            </w:r>
          </w:p>
        </w:tc>
        <w:tc>
          <w:tcPr>
            <w:tcW w:w="1933"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both"/>
              <w:rPr>
                <w:rFonts w:hint="eastAsia" w:ascii="宋体" w:hAnsi="宋体" w:eastAsia="宋体"/>
                <w:color w:val="auto"/>
                <w:kern w:val="2"/>
                <w:highlight w:val="none"/>
                <w:lang w:val="zh-CN" w:eastAsia="zh-CN"/>
              </w:rPr>
            </w:pPr>
            <w:r>
              <w:rPr>
                <w:rFonts w:hint="eastAsia" w:ascii="宋体" w:hAnsi="宋体" w:eastAsia="宋体"/>
                <w:color w:val="auto"/>
                <w:kern w:val="2"/>
                <w:highlight w:val="none"/>
                <w:lang w:val="zh-CN" w:eastAsia="zh-CN"/>
              </w:rPr>
              <w:t>条款名称</w:t>
            </w:r>
          </w:p>
        </w:tc>
        <w:tc>
          <w:tcPr>
            <w:tcW w:w="6921"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both"/>
              <w:rPr>
                <w:rFonts w:hint="eastAsia" w:ascii="宋体" w:hAnsi="宋体" w:eastAsia="宋体"/>
                <w:color w:val="auto"/>
                <w:kern w:val="2"/>
                <w:highlight w:val="none"/>
                <w:lang w:val="zh-CN" w:eastAsia="zh-CN"/>
              </w:rPr>
            </w:pPr>
            <w:r>
              <w:rPr>
                <w:rFonts w:hint="eastAsia" w:ascii="宋体" w:hAnsi="宋体" w:eastAsia="宋体"/>
                <w:color w:val="auto"/>
                <w:kern w:val="2"/>
                <w:highlight w:val="none"/>
                <w:lang w:val="zh-CN" w:eastAsia="zh-CN"/>
              </w:rPr>
              <w:t>说明和要求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887"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center"/>
              <w:rPr>
                <w:rFonts w:hint="eastAsia" w:ascii="宋体" w:hAnsi="宋体" w:eastAsia="宋体"/>
                <w:color w:val="auto"/>
                <w:kern w:val="2"/>
                <w:highlight w:val="none"/>
                <w:lang w:eastAsia="zh-CN"/>
              </w:rPr>
            </w:pPr>
            <w:r>
              <w:rPr>
                <w:rFonts w:hint="eastAsia" w:ascii="宋体" w:hAnsi="宋体" w:eastAsia="宋体"/>
                <w:color w:val="auto"/>
                <w:kern w:val="2"/>
                <w:highlight w:val="none"/>
                <w:lang w:eastAsia="zh-CN"/>
              </w:rPr>
              <w:t>7.3</w:t>
            </w:r>
          </w:p>
        </w:tc>
        <w:tc>
          <w:tcPr>
            <w:tcW w:w="1933"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b/>
                <w:bCs/>
                <w:color w:val="auto"/>
                <w:highlight w:val="none"/>
                <w:lang w:val="zh-CN" w:eastAsia="zh-CN"/>
              </w:rPr>
            </w:pPr>
            <w:r>
              <w:rPr>
                <w:rFonts w:hint="eastAsia" w:ascii="宋体" w:hAnsi="宋体" w:eastAsia="宋体"/>
                <w:color w:val="auto"/>
                <w:highlight w:val="none"/>
                <w:lang w:eastAsia="zh-CN"/>
              </w:rPr>
              <w:t>现场考察或标前答疑会</w:t>
            </w:r>
          </w:p>
        </w:tc>
        <w:tc>
          <w:tcPr>
            <w:tcW w:w="6921"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olor w:val="auto"/>
                <w:kern w:val="2"/>
                <w:highlight w:val="none"/>
                <w:lang w:eastAsia="zh-CN"/>
              </w:rPr>
            </w:pPr>
            <w:r>
              <w:rPr>
                <w:rFonts w:hint="eastAsia" w:ascii="宋体" w:hAnsi="宋体" w:eastAsia="宋体"/>
                <w:color w:val="auto"/>
                <w:kern w:val="2"/>
                <w:highlight w:val="none"/>
                <w:lang w:eastAsia="zh-CN"/>
              </w:rPr>
              <w:t>不组织或不召开，供应商应自行对现场和周围环境进行</w:t>
            </w:r>
            <w:r>
              <w:rPr>
                <w:rFonts w:hint="eastAsia" w:ascii="宋体" w:hAnsi="宋体" w:eastAsia="宋体"/>
                <w:color w:val="auto"/>
                <w:highlight w:val="none"/>
                <w:lang w:eastAsia="zh-CN"/>
              </w:rPr>
              <w:t>考察</w:t>
            </w:r>
            <w:r>
              <w:rPr>
                <w:rFonts w:hint="eastAsia" w:ascii="宋体" w:hAnsi="宋体" w:eastAsia="宋体"/>
                <w:color w:val="auto"/>
                <w:kern w:val="2"/>
                <w:highlight w:val="none"/>
                <w:lang w:eastAsia="zh-CN"/>
              </w:rPr>
              <w:t>，以获取编制投标文件和签署合同所需的资料。</w:t>
            </w:r>
          </w:p>
          <w:p>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olor w:val="auto"/>
                <w:kern w:val="2"/>
                <w:highlight w:val="none"/>
                <w:u w:val="single"/>
                <w:lang w:eastAsia="zh-CN"/>
              </w:rPr>
            </w:pPr>
            <w:r>
              <w:rPr>
                <w:rFonts w:hint="eastAsia" w:ascii="宋体" w:hAnsi="宋体" w:eastAsia="宋体"/>
                <w:color w:val="auto"/>
                <w:highlight w:val="none"/>
                <w:lang w:eastAsia="zh-CN"/>
              </w:rPr>
              <w:t>考察</w:t>
            </w:r>
            <w:r>
              <w:rPr>
                <w:rFonts w:hint="eastAsia" w:ascii="宋体" w:hAnsi="宋体" w:eastAsia="宋体"/>
                <w:color w:val="auto"/>
                <w:kern w:val="2"/>
                <w:highlight w:val="none"/>
                <w:lang w:eastAsia="zh-CN"/>
              </w:rPr>
              <w:t>地点：</w:t>
            </w:r>
            <w:r>
              <w:rPr>
                <w:rFonts w:hint="eastAsia" w:ascii="宋体" w:hAnsi="宋体" w:eastAsia="宋体" w:cs="宋体"/>
                <w:color w:val="auto"/>
                <w:kern w:val="2"/>
                <w:sz w:val="24"/>
                <w:szCs w:val="24"/>
                <w:highlight w:val="none"/>
                <w:u w:val="single"/>
                <w:lang w:val="en-US" w:eastAsia="zh-CN"/>
              </w:rPr>
              <w:t>铜陵市数据资源管理局</w:t>
            </w:r>
            <w:r>
              <w:rPr>
                <w:rFonts w:hint="eastAsia" w:ascii="宋体" w:hAnsi="宋体" w:eastAsia="宋体"/>
                <w:color w:val="auto"/>
                <w:kern w:val="2"/>
                <w:highlight w:val="none"/>
                <w:u w:val="single"/>
                <w:lang w:eastAsia="zh-CN"/>
              </w:rPr>
              <w:t>；</w:t>
            </w:r>
          </w:p>
          <w:p>
            <w:pPr>
              <w:keepNext w:val="0"/>
              <w:keepLines w:val="0"/>
              <w:suppressLineNumbers w:val="0"/>
              <w:adjustRightInd w:val="0"/>
              <w:snapToGrid w:val="0"/>
              <w:spacing w:before="0" w:beforeAutospacing="0" w:after="0" w:afterAutospacing="0" w:line="360" w:lineRule="auto"/>
              <w:ind w:left="0" w:right="0"/>
              <w:rPr>
                <w:rFonts w:hint="eastAsia"/>
                <w:color w:val="auto"/>
                <w:highlight w:val="none"/>
                <w:lang w:eastAsia="zh-CN"/>
              </w:rPr>
            </w:pPr>
            <w:r>
              <w:rPr>
                <w:rFonts w:hint="eastAsia" w:ascii="宋体" w:hAnsi="宋体" w:eastAsia="宋体"/>
                <w:color w:val="auto"/>
                <w:kern w:val="2"/>
                <w:highlight w:val="none"/>
                <w:lang w:eastAsia="zh-CN"/>
              </w:rPr>
              <w:t>联系人及联系方式：</w:t>
            </w:r>
            <w:r>
              <w:rPr>
                <w:rFonts w:hint="eastAsia" w:ascii="宋体" w:hAnsi="宋体" w:eastAsia="宋体"/>
                <w:color w:val="auto"/>
                <w:kern w:val="2"/>
                <w:highlight w:val="none"/>
                <w:u w:val="single"/>
                <w:lang w:val="en-US" w:eastAsia="zh-CN"/>
              </w:rPr>
              <w:t>李先生；0562-5880004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887"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center"/>
              <w:rPr>
                <w:rFonts w:hint="eastAsia" w:ascii="宋体" w:hAnsi="宋体" w:eastAsia="宋体"/>
                <w:color w:val="auto"/>
                <w:kern w:val="2"/>
                <w:highlight w:val="none"/>
                <w:lang w:eastAsia="zh-CN"/>
              </w:rPr>
            </w:pPr>
            <w:r>
              <w:rPr>
                <w:rFonts w:hint="eastAsia" w:ascii="宋体" w:hAnsi="宋体" w:eastAsia="宋体"/>
                <w:color w:val="auto"/>
                <w:kern w:val="2"/>
                <w:highlight w:val="none"/>
                <w:lang w:eastAsia="zh-CN"/>
              </w:rPr>
              <w:t>8.1</w:t>
            </w:r>
          </w:p>
        </w:tc>
        <w:tc>
          <w:tcPr>
            <w:tcW w:w="1933"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bCs/>
                <w:color w:val="auto"/>
                <w:szCs w:val="28"/>
                <w:highlight w:val="none"/>
              </w:rPr>
            </w:pPr>
            <w:r>
              <w:rPr>
                <w:rFonts w:hint="eastAsia" w:ascii="宋体" w:hAnsi="宋体" w:eastAsia="宋体"/>
                <w:bCs/>
                <w:color w:val="auto"/>
                <w:szCs w:val="28"/>
                <w:highlight w:val="none"/>
              </w:rPr>
              <w:t>询问截止时间</w:t>
            </w:r>
          </w:p>
        </w:tc>
        <w:tc>
          <w:tcPr>
            <w:tcW w:w="6921"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Cs/>
                <w:color w:val="auto"/>
                <w:szCs w:val="28"/>
                <w:highlight w:val="none"/>
                <w:lang w:eastAsia="zh-CN"/>
              </w:rPr>
            </w:pPr>
            <w:r>
              <w:rPr>
                <w:rFonts w:hint="eastAsia" w:ascii="宋体" w:hAnsi="宋体" w:eastAsia="宋体"/>
                <w:bCs/>
                <w:color w:val="auto"/>
                <w:szCs w:val="28"/>
                <w:highlight w:val="none"/>
                <w:u w:val="single"/>
                <w:lang w:eastAsia="zh-CN"/>
              </w:rPr>
              <w:t>2026</w:t>
            </w:r>
            <w:r>
              <w:rPr>
                <w:rFonts w:hint="default" w:ascii="宋体" w:hAnsi="宋体" w:eastAsia="宋体"/>
                <w:bCs/>
                <w:color w:val="auto"/>
                <w:szCs w:val="28"/>
                <w:highlight w:val="none"/>
                <w:u w:val="single"/>
                <w:lang w:eastAsia="zh-CN"/>
              </w:rPr>
              <w:t xml:space="preserve"> </w:t>
            </w:r>
            <w:r>
              <w:rPr>
                <w:rFonts w:hint="default" w:ascii="宋体" w:hAnsi="宋体" w:eastAsia="宋体"/>
                <w:bCs/>
                <w:color w:val="auto"/>
                <w:szCs w:val="28"/>
                <w:highlight w:val="none"/>
                <w:lang w:eastAsia="zh-CN"/>
              </w:rPr>
              <w:t>年</w:t>
            </w:r>
            <w:r>
              <w:rPr>
                <w:rFonts w:hint="default" w:ascii="宋体" w:hAnsi="宋体" w:eastAsia="宋体"/>
                <w:bCs/>
                <w:color w:val="auto"/>
                <w:szCs w:val="28"/>
                <w:highlight w:val="none"/>
                <w:u w:val="single"/>
                <w:lang w:eastAsia="zh-CN"/>
              </w:rPr>
              <w:t xml:space="preserve"> </w:t>
            </w:r>
            <w:r>
              <w:rPr>
                <w:rFonts w:hint="eastAsia" w:ascii="宋体" w:hAnsi="宋体" w:eastAsia="宋体"/>
                <w:bCs/>
                <w:color w:val="auto"/>
                <w:szCs w:val="28"/>
                <w:highlight w:val="none"/>
                <w:u w:val="single"/>
                <w:lang w:val="en-US" w:eastAsia="zh-CN"/>
              </w:rPr>
              <w:t>09</w:t>
            </w:r>
            <w:r>
              <w:rPr>
                <w:rFonts w:hint="default" w:ascii="宋体" w:hAnsi="宋体" w:eastAsia="宋体"/>
                <w:bCs/>
                <w:color w:val="auto"/>
                <w:szCs w:val="28"/>
                <w:highlight w:val="none"/>
                <w:lang w:eastAsia="zh-CN"/>
              </w:rPr>
              <w:t>月</w:t>
            </w:r>
            <w:r>
              <w:rPr>
                <w:rFonts w:hint="eastAsia" w:ascii="宋体" w:hAnsi="宋体" w:eastAsia="宋体"/>
                <w:bCs/>
                <w:color w:val="auto"/>
                <w:szCs w:val="28"/>
                <w:highlight w:val="none"/>
                <w:u w:val="single"/>
                <w:lang w:val="en-US" w:eastAsia="zh-CN"/>
              </w:rPr>
              <w:t>04</w:t>
            </w:r>
            <w:r>
              <w:rPr>
                <w:rFonts w:hint="default" w:ascii="宋体" w:hAnsi="宋体" w:eastAsia="宋体"/>
                <w:bCs/>
                <w:color w:val="auto"/>
                <w:szCs w:val="28"/>
                <w:highlight w:val="none"/>
                <w:u w:val="single"/>
                <w:lang w:eastAsia="zh-CN"/>
              </w:rPr>
              <w:t xml:space="preserve"> </w:t>
            </w:r>
            <w:r>
              <w:rPr>
                <w:rFonts w:hint="default" w:ascii="宋体" w:hAnsi="宋体" w:eastAsia="宋体"/>
                <w:bCs/>
                <w:color w:val="auto"/>
                <w:szCs w:val="28"/>
                <w:highlight w:val="none"/>
                <w:lang w:eastAsia="zh-CN"/>
              </w:rPr>
              <w:t>日</w:t>
            </w:r>
            <w:r>
              <w:rPr>
                <w:rFonts w:hint="default" w:ascii="宋体" w:hAnsi="宋体" w:eastAsia="宋体"/>
                <w:bCs/>
                <w:color w:val="auto"/>
                <w:szCs w:val="28"/>
                <w:highlight w:val="none"/>
                <w:u w:val="single"/>
                <w:lang w:eastAsia="zh-CN"/>
              </w:rPr>
              <w:t xml:space="preserve"> </w:t>
            </w:r>
            <w:r>
              <w:rPr>
                <w:rFonts w:hint="eastAsia" w:ascii="宋体" w:hAnsi="宋体" w:eastAsia="宋体"/>
                <w:bCs/>
                <w:color w:val="auto"/>
                <w:szCs w:val="28"/>
                <w:highlight w:val="none"/>
                <w:u w:val="single"/>
                <w:lang w:eastAsia="zh-CN"/>
              </w:rPr>
              <w:t>17</w:t>
            </w:r>
            <w:r>
              <w:rPr>
                <w:rFonts w:hint="default" w:ascii="宋体" w:hAnsi="宋体" w:eastAsia="宋体"/>
                <w:bCs/>
                <w:color w:val="auto"/>
                <w:szCs w:val="28"/>
                <w:highlight w:val="none"/>
                <w:u w:val="single"/>
                <w:lang w:eastAsia="zh-CN"/>
              </w:rPr>
              <w:t xml:space="preserve"> </w:t>
            </w:r>
            <w:r>
              <w:rPr>
                <w:rFonts w:hint="default" w:ascii="宋体" w:hAnsi="宋体" w:eastAsia="宋体"/>
                <w:bCs/>
                <w:color w:val="auto"/>
                <w:szCs w:val="28"/>
                <w:highlight w:val="none"/>
                <w:lang w:eastAsia="zh-CN"/>
              </w:rPr>
              <w:t>时</w:t>
            </w:r>
            <w:r>
              <w:rPr>
                <w:rFonts w:hint="default" w:ascii="宋体" w:hAnsi="宋体" w:eastAsia="宋体"/>
                <w:bCs/>
                <w:color w:val="auto"/>
                <w:szCs w:val="28"/>
                <w:highlight w:val="none"/>
                <w:u w:val="single"/>
                <w:lang w:eastAsia="zh-CN"/>
              </w:rPr>
              <w:t xml:space="preserve"> </w:t>
            </w:r>
            <w:r>
              <w:rPr>
                <w:rFonts w:hint="eastAsia" w:ascii="宋体" w:hAnsi="宋体" w:eastAsia="宋体"/>
                <w:bCs/>
                <w:color w:val="auto"/>
                <w:szCs w:val="28"/>
                <w:highlight w:val="none"/>
                <w:u w:val="single"/>
                <w:lang w:eastAsia="zh-CN"/>
              </w:rPr>
              <w:t>00</w:t>
            </w:r>
            <w:r>
              <w:rPr>
                <w:rFonts w:hint="default" w:ascii="宋体" w:hAnsi="宋体" w:eastAsia="宋体"/>
                <w:bCs/>
                <w:color w:val="auto"/>
                <w:szCs w:val="28"/>
                <w:highlight w:val="none"/>
                <w:u w:val="single"/>
                <w:lang w:eastAsia="zh-CN"/>
              </w:rPr>
              <w:t xml:space="preserve"> </w:t>
            </w:r>
            <w:r>
              <w:rPr>
                <w:rFonts w:hint="eastAsia" w:ascii="宋体" w:hAnsi="宋体" w:eastAsia="宋体"/>
                <w:bCs/>
                <w:color w:val="auto"/>
                <w:szCs w:val="28"/>
                <w:highlight w:val="none"/>
                <w:lang w:eastAsia="zh-CN"/>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887"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center"/>
              <w:rPr>
                <w:rFonts w:hint="eastAsia" w:ascii="宋体" w:hAnsi="宋体" w:eastAsia="宋体"/>
                <w:color w:val="auto"/>
                <w:kern w:val="2"/>
                <w:highlight w:val="none"/>
                <w:lang w:eastAsia="zh-CN"/>
              </w:rPr>
            </w:pPr>
            <w:r>
              <w:rPr>
                <w:rFonts w:hint="eastAsia" w:ascii="宋体" w:hAnsi="宋体" w:eastAsia="宋体"/>
                <w:color w:val="auto"/>
                <w:kern w:val="2"/>
                <w:highlight w:val="none"/>
                <w:lang w:eastAsia="zh-CN"/>
              </w:rPr>
              <w:t>9.1</w:t>
            </w:r>
          </w:p>
        </w:tc>
        <w:tc>
          <w:tcPr>
            <w:tcW w:w="1933"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both"/>
              <w:rPr>
                <w:rFonts w:hint="eastAsia" w:ascii="宋体" w:hAnsi="宋体" w:eastAsia="宋体"/>
                <w:color w:val="auto"/>
                <w:kern w:val="2"/>
                <w:highlight w:val="none"/>
                <w:lang w:val="zh-CN" w:eastAsia="zh-CN"/>
              </w:rPr>
            </w:pPr>
            <w:r>
              <w:rPr>
                <w:rFonts w:hint="eastAsia" w:ascii="宋体" w:hAnsi="宋体" w:eastAsia="宋体"/>
                <w:color w:val="auto"/>
                <w:kern w:val="2"/>
                <w:highlight w:val="none"/>
                <w:lang w:eastAsia="zh-CN"/>
              </w:rPr>
              <w:t>包别划分</w:t>
            </w:r>
          </w:p>
        </w:tc>
        <w:tc>
          <w:tcPr>
            <w:tcW w:w="6921" w:type="dxa"/>
            <w:tcMar>
              <w:left w:w="113" w:type="dxa"/>
              <w:right w:w="113" w:type="dxa"/>
            </w:tcMar>
            <w:vAlign w:val="center"/>
          </w:tcPr>
          <w:p>
            <w:pPr>
              <w:keepNext w:val="0"/>
              <w:keepLines w:val="0"/>
              <w:suppressLineNumbers w:val="0"/>
              <w:autoSpaceDE w:val="0"/>
              <w:autoSpaceDN w:val="0"/>
              <w:adjustRightInd w:val="0"/>
              <w:snapToGrid w:val="0"/>
              <w:spacing w:before="0" w:beforeAutospacing="0" w:after="0" w:afterAutospacing="0" w:line="360" w:lineRule="auto"/>
              <w:ind w:left="0" w:right="0"/>
              <w:jc w:val="both"/>
              <w:rPr>
                <w:rFonts w:hint="eastAsia" w:ascii="宋体" w:hAnsi="宋体" w:eastAsia="宋体"/>
                <w:bCs/>
                <w:color w:val="auto"/>
                <w:szCs w:val="28"/>
                <w:highlight w:val="none"/>
                <w:lang w:eastAsia="zh-CN"/>
              </w:rPr>
            </w:pPr>
            <w:r>
              <w:rPr>
                <w:rFonts w:hint="default" w:ascii="宋体" w:hAnsi="宋体" w:eastAsia="宋体"/>
                <w:bCs/>
                <w:color w:val="auto"/>
                <w:szCs w:val="28"/>
                <w:highlight w:val="none"/>
                <w:lang w:eastAsia="zh-CN"/>
              </w:rPr>
              <w:t>不分包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887"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center"/>
              <w:rPr>
                <w:rFonts w:hint="eastAsia" w:ascii="宋体" w:hAnsi="宋体" w:eastAsia="宋体"/>
                <w:color w:val="auto"/>
                <w:kern w:val="2"/>
                <w:highlight w:val="none"/>
                <w:lang w:eastAsia="zh-CN"/>
              </w:rPr>
            </w:pPr>
            <w:r>
              <w:rPr>
                <w:rFonts w:hint="eastAsia" w:ascii="宋体" w:hAnsi="宋体" w:eastAsia="宋体"/>
                <w:color w:val="auto"/>
                <w:kern w:val="2"/>
                <w:highlight w:val="none"/>
                <w:lang w:eastAsia="zh-CN"/>
              </w:rPr>
              <w:t>13.1</w:t>
            </w:r>
          </w:p>
        </w:tc>
        <w:tc>
          <w:tcPr>
            <w:tcW w:w="1933"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both"/>
              <w:rPr>
                <w:rFonts w:hint="eastAsia" w:ascii="宋体" w:hAnsi="宋体" w:eastAsia="宋体"/>
                <w:color w:val="auto"/>
                <w:kern w:val="2"/>
                <w:highlight w:val="none"/>
                <w:lang w:val="zh-CN" w:eastAsia="zh-CN"/>
              </w:rPr>
            </w:pPr>
            <w:r>
              <w:rPr>
                <w:rFonts w:hint="eastAsia" w:ascii="宋体" w:hAnsi="宋体" w:eastAsia="宋体"/>
                <w:color w:val="auto"/>
                <w:kern w:val="2"/>
                <w:highlight w:val="none"/>
                <w:lang w:val="zh-CN" w:eastAsia="zh-CN"/>
              </w:rPr>
              <w:t>投标保证金</w:t>
            </w:r>
          </w:p>
        </w:tc>
        <w:tc>
          <w:tcPr>
            <w:tcW w:w="6921" w:type="dxa"/>
            <w:tcMar>
              <w:left w:w="113" w:type="dxa"/>
              <w:right w:w="113" w:type="dxa"/>
            </w:tcMar>
            <w:vAlign w:val="center"/>
          </w:tcPr>
          <w:p>
            <w:pPr>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olor w:val="auto"/>
                <w:spacing w:val="-1"/>
                <w:highlight w:val="none"/>
              </w:rPr>
            </w:pPr>
            <w:r>
              <w:rPr>
                <w:rFonts w:hint="eastAsia" w:ascii="宋体" w:hAnsi="宋体" w:eastAsia="宋体"/>
                <w:bCs/>
                <w:color w:val="auto"/>
                <w:szCs w:val="28"/>
                <w:highlight w:val="none"/>
              </w:rPr>
              <w:t>不收取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887"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center"/>
              <w:rPr>
                <w:rFonts w:hint="eastAsia" w:ascii="宋体" w:hAnsi="宋体" w:eastAsia="宋体"/>
                <w:color w:val="auto"/>
                <w:kern w:val="2"/>
                <w:highlight w:val="none"/>
                <w:lang w:eastAsia="zh-CN"/>
              </w:rPr>
            </w:pPr>
            <w:r>
              <w:rPr>
                <w:rFonts w:hint="eastAsia" w:ascii="宋体" w:hAnsi="宋体" w:eastAsia="宋体"/>
                <w:color w:val="auto"/>
                <w:kern w:val="2"/>
                <w:highlight w:val="none"/>
                <w:lang w:eastAsia="zh-CN"/>
              </w:rPr>
              <w:t>14.1</w:t>
            </w:r>
          </w:p>
        </w:tc>
        <w:tc>
          <w:tcPr>
            <w:tcW w:w="1933"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
                <w:bCs/>
                <w:color w:val="auto"/>
                <w:highlight w:val="none"/>
                <w:lang w:val="zh-CN" w:eastAsia="zh-CN"/>
              </w:rPr>
            </w:pPr>
            <w:r>
              <w:rPr>
                <w:rFonts w:hint="eastAsia" w:ascii="宋体" w:hAnsi="宋体" w:eastAsia="宋体"/>
                <w:bCs/>
                <w:color w:val="auto"/>
                <w:szCs w:val="28"/>
                <w:highlight w:val="none"/>
              </w:rPr>
              <w:t>投标有效期</w:t>
            </w:r>
          </w:p>
        </w:tc>
        <w:tc>
          <w:tcPr>
            <w:tcW w:w="6921"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
                <w:bCs/>
                <w:color w:val="auto"/>
                <w:highlight w:val="none"/>
                <w:lang w:eastAsia="zh-CN"/>
              </w:rPr>
            </w:pPr>
            <w:bookmarkStart w:id="6" w:name="OLE_LINK2"/>
            <w:r>
              <w:rPr>
                <w:rFonts w:hint="eastAsia" w:ascii="宋体" w:hAnsi="宋体" w:eastAsia="宋体"/>
                <w:bCs/>
                <w:color w:val="auto"/>
                <w:szCs w:val="28"/>
                <w:highlight w:val="none"/>
                <w:u w:val="single"/>
              </w:rPr>
              <w:t xml:space="preserve"> </w:t>
            </w:r>
            <w:r>
              <w:rPr>
                <w:rFonts w:hint="eastAsia" w:ascii="宋体" w:hAnsi="宋体" w:eastAsia="宋体"/>
                <w:bCs/>
                <w:color w:val="auto"/>
                <w:szCs w:val="28"/>
                <w:highlight w:val="none"/>
                <w:u w:val="single"/>
                <w:lang w:eastAsia="zh-CN"/>
              </w:rPr>
              <w:t xml:space="preserve">60 </w:t>
            </w:r>
            <w:bookmarkEnd w:id="6"/>
            <w:r>
              <w:rPr>
                <w:rFonts w:hint="eastAsia" w:ascii="宋体" w:hAnsi="宋体" w:eastAsia="宋体"/>
                <w:bCs/>
                <w:color w:val="auto"/>
                <w:szCs w:val="28"/>
                <w:highlight w:val="none"/>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887"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center"/>
              <w:rPr>
                <w:rFonts w:hint="eastAsia" w:ascii="宋体" w:hAnsi="宋体" w:eastAsia="宋体"/>
                <w:color w:val="auto"/>
                <w:kern w:val="2"/>
                <w:highlight w:val="none"/>
                <w:lang w:eastAsia="zh-CN"/>
              </w:rPr>
            </w:pPr>
            <w:r>
              <w:rPr>
                <w:rFonts w:hint="default" w:ascii="宋体" w:hAnsi="宋体" w:eastAsia="宋体"/>
                <w:color w:val="auto"/>
                <w:highlight w:val="none"/>
              </w:rPr>
              <w:t>15.</w:t>
            </w:r>
            <w:r>
              <w:rPr>
                <w:rFonts w:hint="eastAsia" w:ascii="宋体" w:hAnsi="宋体" w:eastAsia="宋体"/>
                <w:color w:val="auto"/>
                <w:highlight w:val="none"/>
                <w:lang w:eastAsia="zh-CN"/>
              </w:rPr>
              <w:t>7</w:t>
            </w:r>
            <w:r>
              <w:rPr>
                <w:rFonts w:hint="default" w:ascii="宋体" w:hAnsi="宋体" w:eastAsia="宋体"/>
                <w:color w:val="auto"/>
                <w:highlight w:val="none"/>
              </w:rPr>
              <w:t xml:space="preserve"> </w:t>
            </w:r>
          </w:p>
        </w:tc>
        <w:tc>
          <w:tcPr>
            <w:tcW w:w="1933"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Cs/>
                <w:color w:val="auto"/>
                <w:szCs w:val="28"/>
                <w:highlight w:val="none"/>
                <w:lang w:eastAsia="zh-CN"/>
              </w:rPr>
            </w:pPr>
            <w:r>
              <w:rPr>
                <w:rFonts w:hint="default" w:ascii="宋体" w:hAnsi="宋体" w:eastAsia="宋体"/>
                <w:color w:val="auto"/>
                <w:highlight w:val="none"/>
                <w:lang w:eastAsia="zh-CN"/>
              </w:rPr>
              <w:t>开标现场提交的其他材料</w:t>
            </w:r>
          </w:p>
        </w:tc>
        <w:tc>
          <w:tcPr>
            <w:tcW w:w="6921" w:type="dxa"/>
            <w:tcMar>
              <w:left w:w="113" w:type="dxa"/>
              <w:right w:w="113" w:type="dxa"/>
            </w:tcMar>
            <w:vAlign w:val="center"/>
          </w:tcPr>
          <w:p>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jc w:val="left"/>
              <w:textAlignment w:val="auto"/>
              <w:rPr>
                <w:rFonts w:hint="eastAsia" w:ascii="宋体" w:hAnsi="宋体" w:eastAsia="宋体" w:cs="宋体"/>
                <w:bCs/>
                <w:color w:val="auto"/>
                <w:kern w:val="0"/>
                <w:sz w:val="24"/>
                <w:szCs w:val="24"/>
                <w:highlight w:val="none"/>
                <w:lang w:val="zh-CN" w:eastAsia="zh-CN"/>
              </w:rPr>
            </w:pPr>
            <w:r>
              <w:rPr>
                <w:rFonts w:hint="eastAsia" w:ascii="宋体" w:hAnsi="宋体" w:eastAsia="宋体" w:cs="宋体"/>
                <w:bCs/>
                <w:color w:val="auto"/>
                <w:kern w:val="0"/>
                <w:sz w:val="24"/>
                <w:szCs w:val="24"/>
                <w:highlight w:val="none"/>
                <w:lang w:val="zh-CN" w:eastAsia="zh-CN"/>
              </w:rPr>
              <w:t>纸质</w:t>
            </w:r>
            <w:r>
              <w:rPr>
                <w:rFonts w:hint="eastAsia" w:ascii="宋体" w:hAnsi="宋体" w:eastAsia="宋体" w:cs="宋体"/>
                <w:bCs/>
                <w:color w:val="auto"/>
                <w:kern w:val="0"/>
                <w:sz w:val="24"/>
                <w:szCs w:val="24"/>
                <w:highlight w:val="none"/>
                <w:lang w:val="en-US" w:eastAsia="zh-CN"/>
              </w:rPr>
              <w:t>投标</w:t>
            </w:r>
            <w:r>
              <w:rPr>
                <w:rFonts w:hint="eastAsia" w:ascii="宋体" w:hAnsi="宋体" w:eastAsia="宋体" w:cs="宋体"/>
                <w:bCs/>
                <w:color w:val="auto"/>
                <w:kern w:val="0"/>
                <w:sz w:val="24"/>
                <w:szCs w:val="24"/>
                <w:highlight w:val="none"/>
                <w:lang w:val="zh-CN" w:eastAsia="zh-CN"/>
              </w:rPr>
              <w:t>文件：正本 1 份，副本</w:t>
            </w:r>
            <w:r>
              <w:rPr>
                <w:rFonts w:hint="eastAsia" w:ascii="宋体" w:hAnsi="宋体" w:eastAsia="宋体" w:cs="宋体"/>
                <w:bCs/>
                <w:color w:val="auto"/>
                <w:kern w:val="0"/>
                <w:sz w:val="24"/>
                <w:szCs w:val="24"/>
                <w:highlight w:val="none"/>
                <w:lang w:val="en-US" w:eastAsia="zh-CN"/>
              </w:rPr>
              <w:t>4</w:t>
            </w:r>
            <w:r>
              <w:rPr>
                <w:rFonts w:hint="eastAsia" w:ascii="宋体" w:hAnsi="宋体" w:eastAsia="宋体" w:cs="宋体"/>
                <w:bCs/>
                <w:color w:val="auto"/>
                <w:kern w:val="0"/>
                <w:sz w:val="24"/>
                <w:szCs w:val="24"/>
                <w:highlight w:val="none"/>
                <w:lang w:val="zh-CN" w:eastAsia="zh-CN"/>
              </w:rPr>
              <w:t>份；</w:t>
            </w:r>
          </w:p>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Cs/>
                <w:color w:val="auto"/>
                <w:szCs w:val="28"/>
                <w:highlight w:val="none"/>
                <w:lang w:eastAsia="zh-CN"/>
              </w:rPr>
            </w:pPr>
            <w:r>
              <w:rPr>
                <w:rFonts w:hint="eastAsia" w:ascii="宋体" w:hAnsi="宋体" w:eastAsia="宋体" w:cs="宋体"/>
                <w:bCs/>
                <w:color w:val="auto"/>
                <w:kern w:val="0"/>
                <w:sz w:val="24"/>
                <w:szCs w:val="24"/>
                <w:highlight w:val="none"/>
                <w:lang w:val="zh-CN" w:eastAsia="zh-CN"/>
              </w:rPr>
              <w:t>电子</w:t>
            </w:r>
            <w:r>
              <w:rPr>
                <w:rFonts w:hint="eastAsia" w:ascii="宋体" w:hAnsi="宋体" w:eastAsia="宋体" w:cs="宋体"/>
                <w:bCs/>
                <w:color w:val="auto"/>
                <w:kern w:val="0"/>
                <w:sz w:val="24"/>
                <w:szCs w:val="24"/>
                <w:highlight w:val="none"/>
                <w:lang w:val="en-US" w:eastAsia="zh-CN"/>
              </w:rPr>
              <w:t>投标文</w:t>
            </w:r>
            <w:r>
              <w:rPr>
                <w:rFonts w:hint="eastAsia" w:ascii="宋体" w:hAnsi="宋体" w:eastAsia="宋体" w:cs="宋体"/>
                <w:bCs/>
                <w:color w:val="auto"/>
                <w:kern w:val="0"/>
                <w:sz w:val="24"/>
                <w:szCs w:val="24"/>
                <w:highlight w:val="none"/>
                <w:lang w:val="zh-CN" w:eastAsia="zh-CN"/>
              </w:rPr>
              <w:t>件（U盘）：正本盖章后扫描件电子件（U盘）一份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887"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center"/>
              <w:rPr>
                <w:rFonts w:hint="eastAsia" w:ascii="宋体" w:hAnsi="宋体" w:eastAsia="宋体"/>
                <w:color w:val="auto"/>
                <w:kern w:val="2"/>
                <w:highlight w:val="none"/>
                <w:lang w:eastAsia="zh-CN"/>
              </w:rPr>
            </w:pPr>
            <w:r>
              <w:rPr>
                <w:rFonts w:hint="default" w:ascii="宋体" w:hAnsi="宋体" w:eastAsia="宋体"/>
                <w:color w:val="auto"/>
                <w:highlight w:val="none"/>
              </w:rPr>
              <w:t xml:space="preserve">16.1 </w:t>
            </w:r>
          </w:p>
        </w:tc>
        <w:tc>
          <w:tcPr>
            <w:tcW w:w="1933"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Cs/>
                <w:color w:val="auto"/>
                <w:szCs w:val="28"/>
                <w:highlight w:val="none"/>
              </w:rPr>
            </w:pPr>
            <w:r>
              <w:rPr>
                <w:rFonts w:hint="default" w:ascii="宋体" w:hAnsi="宋体" w:eastAsia="宋体"/>
                <w:color w:val="auto"/>
                <w:highlight w:val="none"/>
              </w:rPr>
              <w:t>投标截止时间</w:t>
            </w:r>
          </w:p>
        </w:tc>
        <w:tc>
          <w:tcPr>
            <w:tcW w:w="6921"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Cs/>
                <w:color w:val="auto"/>
                <w:szCs w:val="28"/>
                <w:highlight w:val="none"/>
                <w:lang w:eastAsia="zh-CN"/>
              </w:rPr>
            </w:pPr>
            <w:r>
              <w:rPr>
                <w:rFonts w:hint="default" w:ascii="宋体" w:hAnsi="宋体" w:eastAsia="宋体"/>
                <w:color w:val="auto"/>
                <w:highlight w:val="none"/>
                <w:u w:val="none"/>
              </w:rPr>
              <w:t>详见</w:t>
            </w:r>
            <w:r>
              <w:rPr>
                <w:rFonts w:hint="eastAsia" w:ascii="宋体" w:hAnsi="宋体" w:eastAsia="宋体"/>
                <w:color w:val="auto"/>
                <w:highlight w:val="none"/>
                <w:u w:val="none"/>
                <w:lang w:eastAsia="zh-CN"/>
              </w:rPr>
              <w:t>遴选公告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887"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center"/>
              <w:rPr>
                <w:rFonts w:hint="eastAsia" w:ascii="宋体" w:hAnsi="宋体" w:eastAsia="宋体"/>
                <w:color w:val="auto"/>
                <w:kern w:val="2"/>
                <w:highlight w:val="none"/>
                <w:lang w:eastAsia="zh-CN"/>
              </w:rPr>
            </w:pPr>
            <w:r>
              <w:rPr>
                <w:rFonts w:hint="eastAsia" w:ascii="宋体" w:hAnsi="宋体" w:eastAsia="宋体"/>
                <w:color w:val="auto"/>
                <w:kern w:val="2"/>
                <w:highlight w:val="none"/>
                <w:lang w:eastAsia="zh-CN"/>
              </w:rPr>
              <w:t>22.2</w:t>
            </w:r>
          </w:p>
        </w:tc>
        <w:tc>
          <w:tcPr>
            <w:tcW w:w="1933"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
                <w:bCs/>
                <w:color w:val="auto"/>
                <w:highlight w:val="none"/>
                <w:lang w:eastAsia="zh-CN"/>
              </w:rPr>
            </w:pPr>
            <w:r>
              <w:rPr>
                <w:rFonts w:hint="eastAsia" w:ascii="宋体" w:hAnsi="宋体" w:eastAsia="宋体"/>
                <w:bCs/>
                <w:color w:val="auto"/>
                <w:szCs w:val="28"/>
                <w:highlight w:val="none"/>
              </w:rPr>
              <w:t>评标方法</w:t>
            </w:r>
          </w:p>
        </w:tc>
        <w:tc>
          <w:tcPr>
            <w:tcW w:w="6921"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default" w:ascii="宋体" w:hAnsi="宋体" w:eastAsia="宋体"/>
                <w:b/>
                <w:bCs/>
                <w:color w:val="auto"/>
                <w:highlight w:val="none"/>
                <w:lang w:val="en-US" w:eastAsia="zh-CN"/>
              </w:rPr>
            </w:pPr>
            <w:r>
              <w:rPr>
                <w:rFonts w:hint="eastAsia" w:ascii="宋体" w:hAnsi="宋体" w:eastAsia="宋体"/>
                <w:bCs/>
                <w:color w:val="auto"/>
                <w:szCs w:val="28"/>
                <w:highlight w:val="none"/>
                <w:lang w:val="en-US" w:eastAsia="zh-CN"/>
              </w:rPr>
              <w:t>综合评分法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887"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center"/>
              <w:rPr>
                <w:rFonts w:hint="eastAsia" w:ascii="宋体" w:hAnsi="宋体" w:eastAsia="宋体"/>
                <w:color w:val="auto"/>
                <w:kern w:val="2"/>
                <w:highlight w:val="none"/>
                <w:lang w:eastAsia="zh-CN"/>
              </w:rPr>
            </w:pPr>
            <w:r>
              <w:rPr>
                <w:rFonts w:hint="eastAsia" w:ascii="宋体" w:hAnsi="宋体" w:eastAsia="宋体"/>
                <w:color w:val="auto"/>
                <w:kern w:val="2"/>
                <w:highlight w:val="none"/>
                <w:lang w:eastAsia="zh-CN"/>
              </w:rPr>
              <w:t>26.1</w:t>
            </w:r>
          </w:p>
        </w:tc>
        <w:tc>
          <w:tcPr>
            <w:tcW w:w="1933"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
                <w:bCs/>
                <w:color w:val="auto"/>
                <w:highlight w:val="none"/>
                <w:lang w:eastAsia="zh-CN"/>
              </w:rPr>
            </w:pPr>
            <w:r>
              <w:rPr>
                <w:rFonts w:hint="eastAsia" w:ascii="宋体" w:hAnsi="宋体" w:eastAsia="宋体"/>
                <w:bCs/>
                <w:color w:val="auto"/>
                <w:szCs w:val="28"/>
                <w:highlight w:val="none"/>
                <w:lang w:eastAsia="zh-CN"/>
              </w:rPr>
              <w:t>评标委员会推荐</w:t>
            </w:r>
            <w:r>
              <w:rPr>
                <w:rFonts w:hint="default" w:ascii="宋体" w:hAnsi="宋体" w:eastAsia="宋体"/>
                <w:bCs/>
                <w:color w:val="auto"/>
                <w:szCs w:val="28"/>
                <w:highlight w:val="none"/>
                <w:lang w:eastAsia="zh-CN"/>
              </w:rPr>
              <w:t>中标候选</w:t>
            </w:r>
            <w:r>
              <w:rPr>
                <w:rFonts w:hint="eastAsia" w:ascii="宋体" w:hAnsi="宋体" w:eastAsia="宋体"/>
                <w:bCs/>
                <w:color w:val="auto"/>
                <w:szCs w:val="28"/>
                <w:highlight w:val="none"/>
                <w:lang w:eastAsia="zh-CN"/>
              </w:rPr>
              <w:t>人的</w:t>
            </w:r>
            <w:r>
              <w:rPr>
                <w:rFonts w:hint="default" w:ascii="宋体" w:hAnsi="宋体" w:eastAsia="宋体"/>
                <w:bCs/>
                <w:color w:val="auto"/>
                <w:szCs w:val="28"/>
                <w:highlight w:val="none"/>
                <w:lang w:eastAsia="zh-CN"/>
              </w:rPr>
              <w:t>数量</w:t>
            </w:r>
          </w:p>
        </w:tc>
        <w:tc>
          <w:tcPr>
            <w:tcW w:w="6921"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
                <w:bCs/>
                <w:color w:val="auto"/>
                <w:highlight w:val="none"/>
                <w:lang w:eastAsia="zh-CN"/>
              </w:rPr>
            </w:pPr>
            <w:r>
              <w:rPr>
                <w:rFonts w:hint="eastAsia" w:ascii="宋体" w:hAnsi="宋体" w:eastAsia="宋体"/>
                <w:bCs/>
                <w:color w:val="auto"/>
                <w:szCs w:val="28"/>
                <w:highlight w:val="none"/>
                <w:u w:val="single"/>
                <w:lang w:eastAsia="zh-CN"/>
              </w:rPr>
              <w:t xml:space="preserve"> </w:t>
            </w:r>
            <w:r>
              <w:rPr>
                <w:rFonts w:hint="eastAsia" w:ascii="宋体" w:hAnsi="宋体" w:eastAsia="宋体" w:cs="宋体"/>
                <w:b w:val="0"/>
                <w:bCs/>
                <w:color w:val="auto"/>
                <w:kern w:val="0"/>
                <w:sz w:val="24"/>
                <w:szCs w:val="28"/>
                <w:highlight w:val="none"/>
                <w:u w:val="single"/>
                <w:lang w:val="en-US" w:eastAsia="zh-CN" w:bidi="ar-SA"/>
              </w:rPr>
              <w:t xml:space="preserve">3 </w:t>
            </w:r>
            <w:r>
              <w:rPr>
                <w:rFonts w:hint="eastAsia" w:ascii="宋体" w:hAnsi="宋体" w:eastAsia="宋体" w:cs="宋体"/>
                <w:b w:val="0"/>
                <w:bCs/>
                <w:strike w:val="0"/>
                <w:dstrike w:val="0"/>
                <w:color w:val="auto"/>
                <w:kern w:val="0"/>
                <w:sz w:val="24"/>
                <w:szCs w:val="24"/>
                <w:highlight w:val="none"/>
                <w:lang w:val="en-US" w:eastAsia="zh-CN" w:bidi="ar-SA"/>
              </w:rPr>
              <w:t>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887"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center"/>
              <w:rPr>
                <w:rFonts w:hint="eastAsia" w:ascii="宋体" w:hAnsi="宋体" w:eastAsia="宋体"/>
                <w:color w:val="auto"/>
                <w:kern w:val="2"/>
                <w:highlight w:val="none"/>
                <w:lang w:eastAsia="zh-CN"/>
              </w:rPr>
            </w:pPr>
            <w:r>
              <w:rPr>
                <w:rFonts w:hint="eastAsia" w:ascii="宋体" w:hAnsi="宋体" w:eastAsia="宋体"/>
                <w:color w:val="auto"/>
                <w:kern w:val="2"/>
                <w:highlight w:val="none"/>
                <w:lang w:eastAsia="zh-CN"/>
              </w:rPr>
              <w:t>26.2</w:t>
            </w:r>
          </w:p>
        </w:tc>
        <w:tc>
          <w:tcPr>
            <w:tcW w:w="1933"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
                <w:bCs/>
                <w:color w:val="auto"/>
                <w:highlight w:val="none"/>
                <w:lang w:eastAsia="zh-CN"/>
              </w:rPr>
            </w:pPr>
            <w:r>
              <w:rPr>
                <w:rFonts w:hint="eastAsia" w:ascii="宋体" w:hAnsi="宋体" w:eastAsia="宋体"/>
                <w:bCs/>
                <w:color w:val="auto"/>
                <w:szCs w:val="28"/>
                <w:highlight w:val="none"/>
              </w:rPr>
              <w:t>确定中标人</w:t>
            </w:r>
          </w:p>
        </w:tc>
        <w:tc>
          <w:tcPr>
            <w:tcW w:w="6921"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b/>
                <w:bCs/>
                <w:color w:val="auto"/>
                <w:highlight w:val="none"/>
                <w:lang w:eastAsia="zh-CN"/>
              </w:rPr>
            </w:pPr>
            <w:r>
              <w:rPr>
                <w:rFonts w:hint="eastAsia" w:ascii="宋体" w:hAnsi="宋体" w:eastAsia="宋体"/>
                <w:color w:val="auto"/>
                <w:highlight w:val="none"/>
                <w:lang w:eastAsia="zh-CN"/>
              </w:rPr>
              <w:t>采购人委托评标委员会确定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887"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center"/>
              <w:rPr>
                <w:rFonts w:hint="eastAsia" w:ascii="宋体" w:hAnsi="宋体" w:eastAsia="宋体"/>
                <w:color w:val="auto"/>
                <w:kern w:val="2"/>
                <w:highlight w:val="none"/>
                <w:lang w:eastAsia="zh-CN"/>
              </w:rPr>
            </w:pPr>
            <w:r>
              <w:rPr>
                <w:rFonts w:hint="eastAsia" w:ascii="宋体" w:hAnsi="宋体" w:eastAsia="宋体"/>
                <w:color w:val="auto"/>
                <w:kern w:val="2"/>
                <w:highlight w:val="none"/>
                <w:lang w:eastAsia="zh-CN"/>
              </w:rPr>
              <w:t>29.1</w:t>
            </w:r>
          </w:p>
        </w:tc>
        <w:tc>
          <w:tcPr>
            <w:tcW w:w="1933"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Cs/>
                <w:color w:val="auto"/>
                <w:highlight w:val="none"/>
                <w:lang w:eastAsia="zh-CN"/>
              </w:rPr>
            </w:pPr>
            <w:r>
              <w:rPr>
                <w:rFonts w:hint="eastAsia" w:ascii="宋体" w:hAnsi="宋体" w:eastAsia="宋体"/>
                <w:bCs/>
                <w:color w:val="auto"/>
                <w:szCs w:val="28"/>
                <w:highlight w:val="none"/>
                <w:lang w:eastAsia="zh-CN"/>
              </w:rPr>
              <w:t>中标通知书发出的形式</w:t>
            </w:r>
          </w:p>
        </w:tc>
        <w:tc>
          <w:tcPr>
            <w:tcW w:w="6921" w:type="dxa"/>
            <w:tcMar>
              <w:left w:w="113" w:type="dxa"/>
              <w:right w:w="113" w:type="dxa"/>
            </w:tcMar>
            <w:vAlign w:val="center"/>
          </w:tcPr>
          <w:p>
            <w:pPr>
              <w:keepNext w:val="0"/>
              <w:keepLines w:val="0"/>
              <w:pageBreakBefore w:val="0"/>
              <w:widowControl w:val="0"/>
              <w:suppressLineNumbers w:val="0"/>
              <w:kinsoku/>
              <w:overflowPunct/>
              <w:topLinePunct w:val="0"/>
              <w:bidi w:val="0"/>
              <w:adjustRightInd w:val="0"/>
              <w:snapToGrid w:val="0"/>
              <w:spacing w:before="0" w:beforeAutospacing="0" w:after="0" w:afterAutospacing="0" w:line="360" w:lineRule="auto"/>
              <w:ind w:left="0" w:right="0"/>
              <w:jc w:val="both"/>
              <w:textAlignment w:val="auto"/>
              <w:rPr>
                <w:rFonts w:hint="eastAsia" w:ascii="宋体" w:hAnsi="宋体" w:eastAsia="宋体" w:cs="宋体"/>
                <w:b w:val="0"/>
                <w:bCs/>
                <w:color w:val="auto"/>
                <w:kern w:val="0"/>
                <w:sz w:val="24"/>
                <w:szCs w:val="28"/>
                <w:highlight w:val="none"/>
                <w:u w:val="none"/>
                <w:lang w:val="en-US" w:eastAsia="en-US" w:bidi="ar-SA"/>
              </w:rPr>
            </w:pPr>
            <w:r>
              <w:rPr>
                <w:rFonts w:hint="eastAsia" w:ascii="宋体" w:hAnsi="宋体" w:eastAsia="宋体" w:cs="宋体"/>
                <w:b w:val="0"/>
                <w:bCs/>
                <w:color w:val="auto"/>
                <w:kern w:val="0"/>
                <w:sz w:val="24"/>
                <w:szCs w:val="28"/>
                <w:highlight w:val="none"/>
                <w:u w:val="none"/>
                <w:lang w:val="en-US" w:eastAsia="en-US" w:bidi="ar-SA"/>
              </w:rPr>
              <w:t>书面</w:t>
            </w:r>
          </w:p>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Cs/>
                <w:color w:val="auto"/>
                <w:szCs w:val="28"/>
                <w:highlight w:val="none"/>
                <w:lang w:eastAsia="zh-CN"/>
              </w:rPr>
            </w:pPr>
            <w:r>
              <w:rPr>
                <w:rFonts w:hint="eastAsia" w:ascii="宋体" w:hAnsi="宋体" w:eastAsia="宋体" w:cs="宋体"/>
                <w:b w:val="0"/>
                <w:bCs/>
                <w:color w:val="auto"/>
                <w:kern w:val="0"/>
                <w:sz w:val="24"/>
                <w:szCs w:val="28"/>
                <w:highlight w:val="none"/>
                <w:u w:val="none"/>
                <w:lang w:val="en-US" w:eastAsia="en-US" w:bidi="ar-SA"/>
              </w:rPr>
              <w:t>特别提醒：本项目发布中标结果公告</w:t>
            </w:r>
            <w:r>
              <w:rPr>
                <w:rFonts w:hint="eastAsia" w:ascii="宋体" w:hAnsi="宋体" w:eastAsia="宋体" w:cs="宋体"/>
                <w:b w:val="0"/>
                <w:bCs/>
                <w:color w:val="auto"/>
                <w:kern w:val="0"/>
                <w:sz w:val="24"/>
                <w:szCs w:val="28"/>
                <w:highlight w:val="none"/>
                <w:u w:val="none"/>
                <w:lang w:val="en-US" w:eastAsia="zh-CN" w:bidi="ar-SA"/>
              </w:rPr>
              <w:t>后</w:t>
            </w:r>
            <w:r>
              <w:rPr>
                <w:rFonts w:hint="eastAsia" w:ascii="宋体" w:hAnsi="宋体" w:eastAsia="宋体" w:cs="宋体"/>
                <w:b w:val="0"/>
                <w:bCs/>
                <w:color w:val="auto"/>
                <w:kern w:val="0"/>
                <w:sz w:val="24"/>
                <w:szCs w:val="28"/>
                <w:highlight w:val="none"/>
                <w:u w:val="none"/>
                <w:lang w:val="en-US" w:eastAsia="en-US" w:bidi="ar-SA"/>
              </w:rPr>
              <w:t>，</w:t>
            </w:r>
            <w:r>
              <w:rPr>
                <w:rFonts w:hint="eastAsia" w:ascii="宋体" w:hAnsi="宋体" w:eastAsia="宋体" w:cs="宋体"/>
                <w:b w:val="0"/>
                <w:bCs/>
                <w:color w:val="auto"/>
                <w:kern w:val="0"/>
                <w:sz w:val="24"/>
                <w:szCs w:val="28"/>
                <w:highlight w:val="none"/>
                <w:u w:val="none"/>
                <w:lang w:val="en-US" w:eastAsia="zh-CN" w:bidi="ar-SA"/>
              </w:rPr>
              <w:t>公示期结束</w:t>
            </w:r>
            <w:r>
              <w:rPr>
                <w:rFonts w:hint="eastAsia" w:ascii="宋体" w:hAnsi="宋体" w:eastAsia="宋体" w:cs="宋体"/>
                <w:b w:val="0"/>
                <w:color w:val="auto"/>
                <w:sz w:val="24"/>
                <w:highlight w:val="none"/>
              </w:rPr>
              <w:t>将通过电话通知</w:t>
            </w:r>
            <w:r>
              <w:rPr>
                <w:rFonts w:hint="eastAsia" w:ascii="宋体" w:hAnsi="宋体" w:eastAsia="宋体" w:cs="宋体"/>
                <w:b w:val="0"/>
                <w:color w:val="auto"/>
                <w:sz w:val="24"/>
                <w:highlight w:val="none"/>
                <w:lang w:val="en-US" w:eastAsia="zh-CN"/>
              </w:rPr>
              <w:t>并</w:t>
            </w:r>
            <w:r>
              <w:rPr>
                <w:rFonts w:hint="eastAsia" w:ascii="宋体" w:hAnsi="宋体" w:eastAsia="宋体" w:cs="宋体"/>
                <w:b w:val="0"/>
                <w:color w:val="auto"/>
                <w:sz w:val="24"/>
                <w:highlight w:val="none"/>
              </w:rPr>
              <w:t>以书面形式向</w:t>
            </w:r>
            <w:r>
              <w:rPr>
                <w:rFonts w:hint="eastAsia" w:ascii="宋体" w:hAnsi="宋体" w:eastAsia="宋体" w:cs="宋体"/>
                <w:b w:val="0"/>
                <w:color w:val="auto"/>
                <w:sz w:val="24"/>
                <w:highlight w:val="none"/>
                <w:lang w:val="en-US" w:eastAsia="zh-CN"/>
              </w:rPr>
              <w:t>中标</w:t>
            </w:r>
            <w:r>
              <w:rPr>
                <w:rFonts w:hint="eastAsia" w:ascii="宋体" w:hAnsi="宋体" w:eastAsia="宋体" w:cs="宋体"/>
                <w:b w:val="0"/>
                <w:color w:val="auto"/>
                <w:sz w:val="24"/>
                <w:highlight w:val="none"/>
              </w:rPr>
              <w:t>人发出</w:t>
            </w:r>
            <w:r>
              <w:rPr>
                <w:rFonts w:hint="eastAsia" w:ascii="宋体" w:hAnsi="宋体" w:eastAsia="宋体" w:cs="宋体"/>
                <w:b w:val="0"/>
                <w:bCs/>
                <w:color w:val="auto"/>
                <w:kern w:val="0"/>
                <w:sz w:val="24"/>
                <w:szCs w:val="28"/>
                <w:highlight w:val="none"/>
                <w:u w:val="none"/>
                <w:lang w:val="en-US" w:eastAsia="en-US" w:bidi="ar-SA"/>
              </w:rPr>
              <w:t>中标通知书。中标通知书发出视为已送达，投标人应主动</w:t>
            </w:r>
            <w:r>
              <w:rPr>
                <w:rFonts w:hint="eastAsia" w:ascii="宋体" w:hAnsi="宋体" w:eastAsia="宋体" w:cs="宋体"/>
                <w:b w:val="0"/>
                <w:bCs/>
                <w:color w:val="auto"/>
                <w:kern w:val="0"/>
                <w:sz w:val="24"/>
                <w:szCs w:val="28"/>
                <w:highlight w:val="none"/>
                <w:u w:val="none"/>
                <w:lang w:val="en-US" w:eastAsia="zh-CN" w:bidi="ar-SA"/>
              </w:rPr>
              <w:t>领取</w:t>
            </w:r>
            <w:r>
              <w:rPr>
                <w:rFonts w:hint="eastAsia" w:ascii="宋体" w:hAnsi="宋体" w:eastAsia="宋体" w:cs="宋体"/>
                <w:b w:val="0"/>
                <w:bCs/>
                <w:color w:val="auto"/>
                <w:kern w:val="0"/>
                <w:sz w:val="24"/>
                <w:szCs w:val="28"/>
                <w:highlight w:val="none"/>
                <w:u w:val="none"/>
                <w:lang w:val="en-US" w:eastAsia="en-US" w:bidi="ar-SA"/>
              </w:rPr>
              <w:t>，采购人和采购代理机构不承担投标人未及时关注相关信息引发的相关责任。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887"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center"/>
              <w:rPr>
                <w:rFonts w:hint="eastAsia" w:ascii="宋体" w:hAnsi="宋体" w:eastAsia="宋体"/>
                <w:color w:val="auto"/>
                <w:kern w:val="2"/>
                <w:highlight w:val="none"/>
                <w:lang w:eastAsia="zh-CN"/>
              </w:rPr>
            </w:pPr>
            <w:r>
              <w:rPr>
                <w:rFonts w:hint="eastAsia" w:ascii="宋体" w:hAnsi="宋体" w:eastAsia="宋体"/>
                <w:color w:val="auto"/>
                <w:kern w:val="2"/>
                <w:highlight w:val="none"/>
                <w:lang w:eastAsia="zh-CN"/>
              </w:rPr>
              <w:t>30.1</w:t>
            </w:r>
          </w:p>
        </w:tc>
        <w:tc>
          <w:tcPr>
            <w:tcW w:w="1933"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Cs/>
                <w:color w:val="auto"/>
                <w:szCs w:val="28"/>
                <w:highlight w:val="none"/>
                <w:lang w:eastAsia="zh-CN"/>
              </w:rPr>
            </w:pPr>
            <w:r>
              <w:rPr>
                <w:rFonts w:hint="eastAsia" w:ascii="宋体" w:hAnsi="宋体" w:eastAsia="宋体"/>
                <w:bCs/>
                <w:color w:val="auto"/>
                <w:szCs w:val="28"/>
                <w:highlight w:val="none"/>
              </w:rPr>
              <w:t>告知</w:t>
            </w:r>
            <w:r>
              <w:rPr>
                <w:rFonts w:hint="eastAsia" w:ascii="宋体" w:hAnsi="宋体" w:eastAsia="宋体"/>
                <w:bCs/>
                <w:color w:val="auto"/>
                <w:szCs w:val="28"/>
                <w:highlight w:val="none"/>
                <w:lang w:eastAsia="zh-CN"/>
              </w:rPr>
              <w:t>遴选</w:t>
            </w:r>
            <w:r>
              <w:rPr>
                <w:rFonts w:hint="eastAsia" w:ascii="宋体" w:hAnsi="宋体" w:eastAsia="宋体"/>
                <w:bCs/>
                <w:color w:val="auto"/>
                <w:szCs w:val="28"/>
                <w:highlight w:val="none"/>
              </w:rPr>
              <w:t>结果的形式</w:t>
            </w:r>
          </w:p>
        </w:tc>
        <w:tc>
          <w:tcPr>
            <w:tcW w:w="6921"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color w:val="auto"/>
                <w:kern w:val="2"/>
                <w:highlight w:val="none"/>
                <w:lang w:eastAsia="zh-CN"/>
              </w:rPr>
            </w:pPr>
            <w:r>
              <w:rPr>
                <w:rFonts w:hint="eastAsia" w:ascii="宋体" w:hAnsi="宋体" w:eastAsia="宋体"/>
                <w:color w:val="auto"/>
                <w:kern w:val="2"/>
                <w:highlight w:val="none"/>
                <w:lang w:eastAsia="zh-CN"/>
              </w:rPr>
              <w:t>评标现场告知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887"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center"/>
              <w:rPr>
                <w:rFonts w:hint="eastAsia" w:ascii="宋体" w:hAnsi="宋体" w:eastAsia="宋体"/>
                <w:color w:val="auto"/>
                <w:kern w:val="2"/>
                <w:highlight w:val="none"/>
                <w:lang w:eastAsia="zh-CN"/>
              </w:rPr>
            </w:pPr>
            <w:r>
              <w:rPr>
                <w:rFonts w:hint="eastAsia" w:ascii="宋体" w:hAnsi="宋体" w:eastAsia="宋体"/>
                <w:color w:val="auto"/>
                <w:kern w:val="2"/>
                <w:highlight w:val="none"/>
                <w:lang w:eastAsia="zh-CN"/>
              </w:rPr>
              <w:t>31.1</w:t>
            </w:r>
          </w:p>
        </w:tc>
        <w:tc>
          <w:tcPr>
            <w:tcW w:w="1933"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Cs/>
                <w:color w:val="auto"/>
                <w:highlight w:val="none"/>
              </w:rPr>
            </w:pPr>
            <w:r>
              <w:rPr>
                <w:rFonts w:hint="eastAsia" w:ascii="宋体" w:hAnsi="宋体" w:eastAsia="宋体"/>
                <w:bCs/>
                <w:color w:val="auto"/>
                <w:szCs w:val="28"/>
                <w:highlight w:val="none"/>
              </w:rPr>
              <w:t>履约保证金</w:t>
            </w:r>
          </w:p>
        </w:tc>
        <w:tc>
          <w:tcPr>
            <w:tcW w:w="6921" w:type="dxa"/>
            <w:tcMar>
              <w:left w:w="113" w:type="dxa"/>
              <w:right w:w="113" w:type="dxa"/>
            </w:tcMar>
          </w:tcPr>
          <w:p>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olor w:val="auto"/>
                <w:spacing w:val="1"/>
                <w:highlight w:val="none"/>
                <w:lang w:eastAsia="zh-CN"/>
              </w:rPr>
            </w:pPr>
            <w:r>
              <w:rPr>
                <w:rFonts w:hint="eastAsia" w:ascii="宋体" w:hAnsi="宋体" w:eastAsia="宋体" w:cs="宋体"/>
                <w:bCs/>
                <w:color w:val="auto"/>
                <w:kern w:val="0"/>
                <w:sz w:val="24"/>
                <w:szCs w:val="28"/>
                <w:highlight w:val="none"/>
                <w:lang w:val="en-US" w:eastAsia="zh-CN"/>
              </w:rPr>
              <w:t>不收取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887"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center"/>
              <w:rPr>
                <w:rFonts w:hint="eastAsia" w:ascii="宋体" w:hAnsi="宋体" w:eastAsia="宋体"/>
                <w:color w:val="auto"/>
                <w:kern w:val="2"/>
                <w:highlight w:val="none"/>
                <w:lang w:eastAsia="zh-CN"/>
              </w:rPr>
            </w:pPr>
            <w:r>
              <w:rPr>
                <w:rFonts w:hint="eastAsia" w:ascii="宋体" w:hAnsi="宋体" w:eastAsia="宋体"/>
                <w:color w:val="auto"/>
                <w:kern w:val="2"/>
                <w:highlight w:val="none"/>
                <w:lang w:eastAsia="zh-CN"/>
              </w:rPr>
              <w:t>32.1</w:t>
            </w:r>
          </w:p>
        </w:tc>
        <w:tc>
          <w:tcPr>
            <w:tcW w:w="1933"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Cs/>
                <w:color w:val="auto"/>
                <w:highlight w:val="none"/>
                <w:u w:val="none"/>
                <w:lang w:eastAsia="zh-CN"/>
              </w:rPr>
            </w:pPr>
            <w:r>
              <w:rPr>
                <w:rFonts w:hint="eastAsia" w:ascii="宋体" w:hAnsi="宋体" w:eastAsia="宋体"/>
                <w:bCs/>
                <w:color w:val="auto"/>
                <w:szCs w:val="28"/>
                <w:highlight w:val="none"/>
                <w:u w:val="none"/>
                <w:lang w:eastAsia="zh-CN"/>
              </w:rPr>
              <w:t>代理费用</w:t>
            </w:r>
          </w:p>
        </w:tc>
        <w:tc>
          <w:tcPr>
            <w:tcW w:w="6921" w:type="dxa"/>
            <w:tcMar>
              <w:left w:w="113" w:type="dxa"/>
              <w:right w:w="113" w:type="dxa"/>
            </w:tcMar>
            <w:vAlign w:val="center"/>
          </w:tcPr>
          <w:p>
            <w:pPr>
              <w:keepNext w:val="0"/>
              <w:keepLines w:val="0"/>
              <w:numPr>
                <w:ilvl w:val="0"/>
                <w:numId w:val="2"/>
              </w:numPr>
              <w:suppressLineNumbers w:val="0"/>
              <w:adjustRightInd w:val="0"/>
              <w:snapToGrid w:val="0"/>
              <w:spacing w:before="0" w:beforeAutospacing="0" w:after="0" w:afterAutospacing="0" w:line="360" w:lineRule="auto"/>
              <w:ind w:left="0" w:right="0"/>
              <w:rPr>
                <w:rFonts w:hint="eastAsia" w:ascii="宋体" w:hAnsi="宋体" w:eastAsia="宋体"/>
                <w:color w:val="auto"/>
                <w:spacing w:val="14"/>
                <w:highlight w:val="none"/>
                <w:u w:val="none"/>
                <w:lang w:val="en-US" w:eastAsia="zh-CN"/>
              </w:rPr>
            </w:pPr>
            <w:r>
              <w:rPr>
                <w:rFonts w:hint="default" w:ascii="宋体" w:hAnsi="宋体" w:eastAsia="宋体"/>
                <w:bCs/>
                <w:color w:val="auto"/>
                <w:szCs w:val="28"/>
                <w:highlight w:val="none"/>
                <w:u w:val="none"/>
                <w:lang w:eastAsia="zh-CN"/>
              </w:rPr>
              <w:t>收费对象</w:t>
            </w:r>
            <w:r>
              <w:rPr>
                <w:rFonts w:hint="default" w:ascii="宋体" w:hAnsi="宋体" w:eastAsia="宋体"/>
                <w:color w:val="auto"/>
                <w:spacing w:val="-12"/>
                <w:highlight w:val="none"/>
                <w:u w:val="none"/>
                <w:lang w:eastAsia="zh-CN"/>
              </w:rPr>
              <w:t>：</w:t>
            </w:r>
            <w:r>
              <w:rPr>
                <w:rFonts w:hint="eastAsia" w:ascii="宋体" w:hAnsi="宋体" w:eastAsia="宋体"/>
                <w:color w:val="auto"/>
                <w:spacing w:val="14"/>
                <w:highlight w:val="none"/>
                <w:u w:val="none"/>
                <w:lang w:val="en-US" w:eastAsia="zh-CN"/>
              </w:rPr>
              <w:t>采购人</w:t>
            </w:r>
          </w:p>
          <w:p>
            <w:pPr>
              <w:keepNext w:val="0"/>
              <w:keepLines w:val="0"/>
              <w:numPr>
                <w:ilvl w:val="0"/>
                <w:numId w:val="2"/>
              </w:numPr>
              <w:suppressLineNumbers w:val="0"/>
              <w:adjustRightInd w:val="0"/>
              <w:snapToGrid w:val="0"/>
              <w:spacing w:before="0" w:beforeAutospacing="0" w:after="0" w:afterAutospacing="0" w:line="360" w:lineRule="auto"/>
              <w:ind w:left="0" w:right="0"/>
              <w:rPr>
                <w:rFonts w:hint="eastAsia" w:ascii="宋体" w:hAnsi="宋体" w:eastAsia="宋体"/>
                <w:color w:val="auto"/>
                <w:highlight w:val="none"/>
                <w:u w:val="none"/>
                <w:lang w:eastAsia="zh-CN"/>
              </w:rPr>
            </w:pPr>
            <w:bookmarkStart w:id="34" w:name="_GoBack"/>
            <w:bookmarkEnd w:id="34"/>
            <w:r>
              <w:rPr>
                <w:rFonts w:hint="eastAsia" w:ascii="宋体" w:hAnsi="宋体" w:eastAsia="宋体"/>
                <w:bCs/>
                <w:color w:val="auto"/>
                <w:szCs w:val="28"/>
                <w:highlight w:val="none"/>
                <w:u w:val="none"/>
                <w:lang w:eastAsia="zh-CN"/>
              </w:rPr>
              <w:t>（2）</w:t>
            </w:r>
            <w:r>
              <w:rPr>
                <w:rFonts w:hint="default" w:ascii="宋体" w:hAnsi="宋体" w:eastAsia="宋体"/>
                <w:bCs/>
                <w:color w:val="auto"/>
                <w:szCs w:val="28"/>
                <w:highlight w:val="none"/>
                <w:u w:val="none"/>
                <w:lang w:eastAsia="zh-CN"/>
              </w:rPr>
              <w:t>收取方式</w:t>
            </w:r>
            <w:r>
              <w:rPr>
                <w:rFonts w:hint="default" w:ascii="宋体" w:hAnsi="宋体" w:eastAsia="宋体"/>
                <w:color w:val="auto"/>
                <w:highlight w:val="none"/>
                <w:u w:val="none"/>
                <w:lang w:eastAsia="zh-CN"/>
              </w:rPr>
              <w:t>：以转账方式向采购代理机构一次性支付，转账方式支付至以下账户：</w:t>
            </w:r>
          </w:p>
          <w:p>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olor w:val="auto"/>
                <w:highlight w:val="none"/>
                <w:u w:val="none"/>
                <w:lang w:eastAsia="zh-CN"/>
              </w:rPr>
            </w:pPr>
            <w:r>
              <w:rPr>
                <w:rFonts w:hint="default" w:ascii="宋体" w:hAnsi="宋体" w:eastAsia="宋体"/>
                <w:color w:val="auto"/>
                <w:highlight w:val="none"/>
                <w:u w:val="none"/>
                <w:lang w:eastAsia="zh-CN"/>
              </w:rPr>
              <w:t>户名：安徽同升工程管理咨询有限责任公司</w:t>
            </w:r>
          </w:p>
          <w:p>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olor w:val="auto"/>
                <w:highlight w:val="none"/>
                <w:u w:val="none"/>
                <w:lang w:eastAsia="zh-CN"/>
              </w:rPr>
            </w:pPr>
            <w:r>
              <w:rPr>
                <w:rFonts w:hint="default" w:ascii="宋体" w:hAnsi="宋体" w:eastAsia="宋体"/>
                <w:color w:val="auto"/>
                <w:highlight w:val="none"/>
                <w:u w:val="none"/>
                <w:lang w:eastAsia="zh-CN"/>
              </w:rPr>
              <w:t>账号：188705102487</w:t>
            </w:r>
          </w:p>
          <w:p>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bCs/>
                <w:color w:val="auto"/>
                <w:szCs w:val="28"/>
                <w:highlight w:val="none"/>
                <w:u w:val="none"/>
                <w:lang w:eastAsia="zh-CN"/>
              </w:rPr>
            </w:pPr>
            <w:r>
              <w:rPr>
                <w:rFonts w:hint="default" w:ascii="宋体" w:hAnsi="宋体" w:eastAsia="宋体"/>
                <w:color w:val="auto"/>
                <w:highlight w:val="none"/>
                <w:u w:val="none"/>
                <w:lang w:eastAsia="zh-CN"/>
              </w:rPr>
              <w:t>开户银行：中国银行铜陵分行</w:t>
            </w:r>
          </w:p>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
                <w:bCs/>
                <w:color w:val="auto"/>
                <w:spacing w:val="1"/>
                <w:highlight w:val="none"/>
                <w:u w:val="none"/>
                <w:lang w:eastAsia="zh-CN"/>
              </w:rPr>
            </w:pPr>
            <w:r>
              <w:rPr>
                <w:rFonts w:hint="eastAsia" w:ascii="宋体" w:hAnsi="宋体" w:eastAsia="宋体"/>
                <w:color w:val="auto"/>
                <w:szCs w:val="28"/>
                <w:highlight w:val="none"/>
                <w:u w:val="none"/>
                <w:lang w:eastAsia="zh-CN"/>
              </w:rPr>
              <w:t>（3）</w:t>
            </w:r>
            <w:r>
              <w:rPr>
                <w:rFonts w:hint="default" w:ascii="宋体" w:hAnsi="宋体" w:eastAsia="宋体" w:cs="@仿宋_GB2312"/>
                <w:bCs/>
                <w:color w:val="auto"/>
                <w:szCs w:val="28"/>
                <w:highlight w:val="none"/>
                <w:u w:val="none"/>
                <w:lang w:eastAsia="zh-CN"/>
              </w:rPr>
              <w:t>收费标准：</w:t>
            </w:r>
            <w:r>
              <w:rPr>
                <w:rFonts w:hint="eastAsia" w:ascii="宋体" w:hAnsi="宋体" w:eastAsia="宋体" w:cs="@仿宋_GB2312"/>
                <w:bCs/>
                <w:color w:val="auto"/>
                <w:szCs w:val="28"/>
                <w:highlight w:val="none"/>
                <w:u w:val="none"/>
                <w:lang w:val="en-US" w:eastAsia="zh-CN"/>
              </w:rPr>
              <w:t>3000</w:t>
            </w:r>
            <w:r>
              <w:rPr>
                <w:rFonts w:hint="default" w:ascii="宋体" w:hAnsi="宋体" w:eastAsia="宋体"/>
                <w:color w:val="auto"/>
                <w:highlight w:val="none"/>
                <w:u w:val="none"/>
                <w:lang w:eastAsia="zh-CN"/>
              </w:rPr>
              <w:t>元整（</w:t>
            </w:r>
            <w:r>
              <w:rPr>
                <w:rFonts w:hint="eastAsia" w:ascii="宋体" w:hAnsi="宋体" w:eastAsia="宋体"/>
                <w:color w:val="auto"/>
                <w:highlight w:val="none"/>
                <w:u w:val="none"/>
                <w:lang w:val="en-US" w:eastAsia="zh-CN"/>
              </w:rPr>
              <w:t>叁仟元整</w:t>
            </w:r>
            <w:r>
              <w:rPr>
                <w:rFonts w:hint="default" w:ascii="宋体" w:hAnsi="宋体" w:eastAsia="宋体"/>
                <w:color w:val="auto"/>
                <w:highlight w:val="none"/>
                <w:u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887"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center"/>
              <w:rPr>
                <w:rFonts w:hint="eastAsia" w:ascii="宋体" w:hAnsi="宋体" w:eastAsia="宋体"/>
                <w:color w:val="auto"/>
                <w:kern w:val="2"/>
                <w:highlight w:val="none"/>
                <w:lang w:eastAsia="zh-CN"/>
              </w:rPr>
            </w:pPr>
            <w:r>
              <w:rPr>
                <w:rFonts w:hint="eastAsia" w:ascii="宋体" w:hAnsi="宋体" w:eastAsia="宋体"/>
                <w:color w:val="auto"/>
                <w:kern w:val="2"/>
                <w:highlight w:val="none"/>
                <w:lang w:eastAsia="zh-CN"/>
              </w:rPr>
              <w:t>33.1</w:t>
            </w:r>
          </w:p>
        </w:tc>
        <w:tc>
          <w:tcPr>
            <w:tcW w:w="1933"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Cs/>
                <w:color w:val="auto"/>
                <w:highlight w:val="none"/>
                <w:lang w:eastAsia="zh-CN"/>
              </w:rPr>
            </w:pPr>
            <w:r>
              <w:rPr>
                <w:rFonts w:hint="eastAsia" w:ascii="宋体" w:hAnsi="宋体" w:eastAsia="宋体"/>
                <w:bCs/>
                <w:color w:val="auto"/>
                <w:szCs w:val="28"/>
                <w:highlight w:val="none"/>
                <w:lang w:eastAsia="zh-CN"/>
              </w:rPr>
              <w:t>签订合同时间</w:t>
            </w:r>
          </w:p>
        </w:tc>
        <w:tc>
          <w:tcPr>
            <w:tcW w:w="6921" w:type="dxa"/>
            <w:tcMar>
              <w:left w:w="113" w:type="dxa"/>
              <w:right w:w="113" w:type="dxa"/>
            </w:tcMar>
          </w:tcPr>
          <w:p>
            <w:pPr>
              <w:keepNext w:val="0"/>
              <w:keepLines w:val="0"/>
              <w:widowControl/>
              <w:suppressLineNumbers w:val="0"/>
              <w:adjustRightInd w:val="0"/>
              <w:snapToGrid w:val="0"/>
              <w:spacing w:before="0" w:beforeAutospacing="0" w:after="0" w:afterAutospacing="0" w:line="360" w:lineRule="auto"/>
              <w:ind w:left="0" w:right="0"/>
              <w:rPr>
                <w:rFonts w:hint="eastAsia" w:ascii="宋体" w:hAnsi="宋体" w:eastAsia="宋体"/>
                <w:color w:val="auto"/>
                <w:highlight w:val="none"/>
                <w:lang w:eastAsia="zh-CN"/>
              </w:rPr>
            </w:pPr>
            <w:r>
              <w:rPr>
                <w:rFonts w:hint="eastAsia" w:ascii="宋体" w:hAnsi="宋体" w:eastAsia="宋体"/>
                <w:color w:val="auto"/>
                <w:highlight w:val="none"/>
                <w:lang w:eastAsia="zh-CN"/>
              </w:rPr>
              <w:t>采购人与中标人应当自发出中标通知书之日起</w:t>
            </w:r>
            <w:r>
              <w:rPr>
                <w:rFonts w:hint="eastAsia" w:ascii="宋体" w:hAnsi="宋体" w:eastAsia="宋体"/>
                <w:color w:val="auto"/>
                <w:highlight w:val="none"/>
                <w:lang w:val="en-US" w:eastAsia="zh-CN"/>
              </w:rPr>
              <w:t>七</w:t>
            </w:r>
            <w:r>
              <w:rPr>
                <w:rFonts w:hint="default" w:ascii="宋体" w:hAnsi="宋体" w:eastAsia="宋体"/>
                <w:color w:val="auto"/>
                <w:highlight w:val="none"/>
                <w:lang w:eastAsia="zh-CN"/>
              </w:rPr>
              <w:t>日</w:t>
            </w:r>
            <w:r>
              <w:rPr>
                <w:rFonts w:hint="eastAsia" w:ascii="宋体" w:hAnsi="宋体" w:eastAsia="宋体"/>
                <w:color w:val="auto"/>
                <w:highlight w:val="none"/>
                <w:lang w:eastAsia="zh-CN"/>
              </w:rPr>
              <w:t>内签订合同。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887"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center"/>
              <w:rPr>
                <w:rFonts w:hint="eastAsia" w:ascii="宋体" w:hAnsi="宋体" w:eastAsia="宋体"/>
                <w:color w:val="auto"/>
                <w:kern w:val="2"/>
                <w:highlight w:val="none"/>
                <w:lang w:eastAsia="zh-CN"/>
              </w:rPr>
            </w:pPr>
            <w:r>
              <w:rPr>
                <w:rFonts w:hint="eastAsia" w:ascii="宋体" w:hAnsi="宋体" w:eastAsia="宋体"/>
                <w:color w:val="auto"/>
                <w:kern w:val="2"/>
                <w:highlight w:val="none"/>
                <w:lang w:eastAsia="zh-CN"/>
              </w:rPr>
              <w:t>36.4</w:t>
            </w:r>
          </w:p>
        </w:tc>
        <w:tc>
          <w:tcPr>
            <w:tcW w:w="1933"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
                <w:bCs/>
                <w:color w:val="auto"/>
                <w:highlight w:val="none"/>
                <w:u w:val="none"/>
                <w:lang w:val="zh-CN" w:eastAsia="zh-CN"/>
              </w:rPr>
            </w:pPr>
            <w:r>
              <w:rPr>
                <w:rFonts w:hint="eastAsia" w:ascii="宋体" w:hAnsi="宋体" w:eastAsia="宋体"/>
                <w:bCs/>
                <w:color w:val="auto"/>
                <w:szCs w:val="28"/>
                <w:highlight w:val="none"/>
                <w:u w:val="none"/>
                <w:lang w:eastAsia="zh-CN"/>
              </w:rPr>
              <w:t>质疑函递交方式、接收部门、联系电话和通讯地址</w:t>
            </w:r>
          </w:p>
        </w:tc>
        <w:tc>
          <w:tcPr>
            <w:tcW w:w="6921"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color w:val="auto"/>
                <w:highlight w:val="none"/>
                <w:u w:val="none"/>
                <w:lang w:eastAsia="zh-CN"/>
              </w:rPr>
            </w:pPr>
            <w:r>
              <w:rPr>
                <w:rFonts w:hint="eastAsia" w:ascii="宋体" w:hAnsi="宋体" w:eastAsia="宋体"/>
                <w:color w:val="auto"/>
                <w:highlight w:val="none"/>
                <w:u w:val="none"/>
                <w:lang w:eastAsia="zh-CN"/>
              </w:rPr>
              <w:t>递交方式：</w:t>
            </w:r>
            <w:r>
              <w:rPr>
                <w:rFonts w:hint="default" w:ascii="宋体" w:hAnsi="宋体" w:eastAsia="宋体"/>
                <w:color w:val="auto"/>
                <w:highlight w:val="none"/>
                <w:u w:val="none"/>
                <w:lang w:eastAsia="zh-CN"/>
              </w:rPr>
              <w:t>书面形式递交</w:t>
            </w:r>
          </w:p>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color w:val="auto"/>
                <w:szCs w:val="18"/>
                <w:highlight w:val="none"/>
                <w:u w:val="none"/>
                <w:lang w:eastAsia="zh-CN"/>
              </w:rPr>
            </w:pPr>
            <w:r>
              <w:rPr>
                <w:rFonts w:hint="eastAsia" w:ascii="宋体" w:hAnsi="宋体" w:eastAsia="宋体"/>
                <w:bCs/>
                <w:color w:val="auto"/>
                <w:szCs w:val="28"/>
                <w:highlight w:val="none"/>
                <w:u w:val="none"/>
                <w:lang w:eastAsia="zh-CN"/>
              </w:rPr>
              <w:t>接收部门：</w:t>
            </w:r>
            <w:r>
              <w:rPr>
                <w:rFonts w:hint="eastAsia" w:ascii="宋体" w:hAnsi="宋体" w:eastAsia="宋体"/>
                <w:color w:val="auto"/>
                <w:highlight w:val="none"/>
                <w:u w:val="none"/>
                <w:lang w:eastAsia="zh-CN"/>
              </w:rPr>
              <w:t>安徽同升工程管理咨询有限责任公司</w:t>
            </w:r>
          </w:p>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color w:val="auto"/>
                <w:szCs w:val="18"/>
                <w:highlight w:val="none"/>
                <w:u w:val="none"/>
                <w:lang w:eastAsia="zh-CN"/>
              </w:rPr>
            </w:pPr>
            <w:r>
              <w:rPr>
                <w:rFonts w:hint="default" w:ascii="宋体" w:hAnsi="宋体" w:eastAsia="宋体"/>
                <w:bCs/>
                <w:color w:val="auto"/>
                <w:szCs w:val="28"/>
                <w:highlight w:val="none"/>
                <w:u w:val="none"/>
                <w:lang w:eastAsia="zh-CN"/>
              </w:rPr>
              <w:t>联系电话：</w:t>
            </w:r>
            <w:r>
              <w:rPr>
                <w:rFonts w:hint="eastAsia" w:ascii="宋体" w:hAnsi="宋体" w:eastAsia="宋体"/>
                <w:color w:val="auto"/>
                <w:highlight w:val="none"/>
                <w:u w:val="none"/>
                <w:lang w:eastAsia="zh-CN"/>
              </w:rPr>
              <w:t>0562-</w:t>
            </w:r>
            <w:r>
              <w:rPr>
                <w:rFonts w:hint="default" w:ascii="宋体" w:hAnsi="宋体" w:eastAsia="宋体"/>
                <w:color w:val="auto"/>
                <w:highlight w:val="none"/>
                <w:u w:val="none"/>
                <w:lang w:eastAsia="zh-CN"/>
              </w:rPr>
              <w:t>2828170</w:t>
            </w:r>
          </w:p>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
                <w:bCs/>
                <w:color w:val="auto"/>
                <w:highlight w:val="none"/>
                <w:u w:val="none"/>
                <w:lang w:eastAsia="zh-CN"/>
              </w:rPr>
            </w:pPr>
            <w:r>
              <w:rPr>
                <w:rFonts w:hint="eastAsia" w:ascii="宋体" w:hAnsi="宋体" w:eastAsia="宋体"/>
                <w:bCs/>
                <w:color w:val="auto"/>
                <w:szCs w:val="28"/>
                <w:highlight w:val="none"/>
                <w:u w:val="none"/>
                <w:lang w:eastAsia="zh-CN"/>
              </w:rPr>
              <w:t>通讯地址：</w:t>
            </w:r>
            <w:r>
              <w:rPr>
                <w:rFonts w:hint="eastAsia" w:ascii="宋体" w:hAnsi="宋体" w:eastAsia="宋体"/>
                <w:color w:val="auto"/>
                <w:highlight w:val="none"/>
                <w:u w:val="none"/>
                <w:lang w:eastAsia="zh-CN"/>
              </w:rPr>
              <w:t>铜陵市天山大道绿源大市场二期</w:t>
            </w:r>
            <w:r>
              <w:rPr>
                <w:rFonts w:hint="default" w:ascii="宋体" w:hAnsi="宋体" w:eastAsia="宋体"/>
                <w:color w:val="auto"/>
                <w:highlight w:val="none"/>
                <w:u w:val="none"/>
                <w:lang w:eastAsia="zh-CN"/>
              </w:rPr>
              <w:t>20#楼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887"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center"/>
              <w:rPr>
                <w:rFonts w:hint="eastAsia" w:ascii="宋体" w:hAnsi="宋体" w:eastAsia="宋体"/>
                <w:color w:val="auto"/>
                <w:kern w:val="2"/>
                <w:highlight w:val="none"/>
                <w:lang w:eastAsia="zh-CN"/>
              </w:rPr>
            </w:pPr>
            <w:r>
              <w:rPr>
                <w:rFonts w:hint="eastAsia" w:ascii="宋体" w:hAnsi="宋体" w:eastAsia="宋体"/>
                <w:color w:val="auto"/>
                <w:kern w:val="2"/>
                <w:highlight w:val="none"/>
                <w:lang w:eastAsia="zh-CN"/>
              </w:rPr>
              <w:t>37</w:t>
            </w:r>
          </w:p>
        </w:tc>
        <w:tc>
          <w:tcPr>
            <w:tcW w:w="1933"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Cs/>
                <w:color w:val="auto"/>
                <w:szCs w:val="28"/>
                <w:highlight w:val="none"/>
                <w:lang w:eastAsia="zh-CN"/>
              </w:rPr>
            </w:pPr>
            <w:r>
              <w:rPr>
                <w:rFonts w:hint="eastAsia" w:ascii="宋体" w:hAnsi="宋体" w:eastAsia="宋体"/>
                <w:bCs/>
                <w:color w:val="auto"/>
                <w:szCs w:val="28"/>
                <w:highlight w:val="none"/>
                <w:lang w:eastAsia="zh-CN"/>
              </w:rPr>
              <w:t>其他内容</w:t>
            </w:r>
          </w:p>
        </w:tc>
        <w:tc>
          <w:tcPr>
            <w:tcW w:w="6921"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cs="@仿宋_GB2312"/>
                <w:bCs/>
                <w:color w:val="auto"/>
                <w:kern w:val="2"/>
                <w:highlight w:val="none"/>
                <w:lang w:eastAsia="zh-CN"/>
              </w:rPr>
            </w:pPr>
            <w:r>
              <w:rPr>
                <w:rFonts w:hint="eastAsia" w:ascii="宋体" w:hAnsi="宋体" w:eastAsia="宋体" w:cs="@仿宋_GB2312"/>
                <w:bCs/>
                <w:color w:val="auto"/>
                <w:kern w:val="2"/>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887"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center"/>
              <w:rPr>
                <w:rFonts w:hint="eastAsia" w:ascii="宋体" w:hAnsi="宋体" w:eastAsia="宋体"/>
                <w:color w:val="auto"/>
                <w:kern w:val="2"/>
                <w:highlight w:val="none"/>
                <w:lang w:eastAsia="zh-CN"/>
              </w:rPr>
            </w:pPr>
            <w:r>
              <w:rPr>
                <w:rFonts w:hint="eastAsia" w:ascii="宋体" w:hAnsi="宋体" w:eastAsia="宋体"/>
                <w:color w:val="auto"/>
                <w:kern w:val="2"/>
                <w:highlight w:val="none"/>
                <w:lang w:eastAsia="zh-CN"/>
              </w:rPr>
              <w:t>37.1</w:t>
            </w:r>
          </w:p>
        </w:tc>
        <w:tc>
          <w:tcPr>
            <w:tcW w:w="1933"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Cs/>
                <w:color w:val="auto"/>
                <w:szCs w:val="28"/>
                <w:highlight w:val="none"/>
                <w:lang w:eastAsia="zh-CN"/>
              </w:rPr>
            </w:pPr>
            <w:r>
              <w:rPr>
                <w:rFonts w:hint="eastAsia" w:ascii="宋体" w:hAnsi="宋体" w:eastAsia="宋体"/>
                <w:bCs/>
                <w:color w:val="auto"/>
                <w:szCs w:val="28"/>
                <w:highlight w:val="none"/>
                <w:lang w:eastAsia="zh-CN"/>
              </w:rPr>
              <w:t>关于联合体投标的相关约定（如有）</w:t>
            </w:r>
          </w:p>
        </w:tc>
        <w:tc>
          <w:tcPr>
            <w:tcW w:w="6921" w:type="dxa"/>
            <w:tcMar>
              <w:left w:w="113" w:type="dxa"/>
              <w:right w:w="113" w:type="dxa"/>
            </w:tcMar>
            <w:vAlign w:val="center"/>
          </w:tcPr>
          <w:p>
            <w:pPr>
              <w:pStyle w:val="46"/>
              <w:keepNext w:val="0"/>
              <w:keepLines w:val="0"/>
              <w:suppressLineNumbers w:val="0"/>
              <w:wordWrap w:val="0"/>
              <w:snapToGrid w:val="0"/>
              <w:spacing w:before="0" w:beforeAutospacing="0" w:after="0" w:afterAutospacing="0" w:line="360" w:lineRule="auto"/>
              <w:ind w:left="0" w:right="0"/>
              <w:jc w:val="both"/>
              <w:rPr>
                <w:rFonts w:hint="eastAsia" w:ascii="宋体" w:hAnsi="宋体" w:eastAsia="宋体"/>
                <w:bCs/>
                <w:color w:val="auto"/>
                <w:szCs w:val="28"/>
                <w:highlight w:val="none"/>
                <w:lang w:eastAsia="zh-CN"/>
              </w:rPr>
            </w:pPr>
            <w:r>
              <w:rPr>
                <w:rFonts w:hint="eastAsia"/>
                <w:color w:val="auto"/>
                <w:highlight w:val="none"/>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887"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center"/>
              <w:rPr>
                <w:rFonts w:hint="eastAsia" w:ascii="宋体" w:hAnsi="宋体" w:eastAsia="宋体"/>
                <w:color w:val="auto"/>
                <w:kern w:val="2"/>
                <w:highlight w:val="none"/>
                <w:lang w:eastAsia="zh-CN"/>
              </w:rPr>
            </w:pPr>
            <w:r>
              <w:rPr>
                <w:rFonts w:hint="eastAsia" w:ascii="宋体" w:hAnsi="宋体" w:eastAsia="宋体"/>
                <w:color w:val="auto"/>
                <w:kern w:val="2"/>
                <w:highlight w:val="none"/>
                <w:lang w:eastAsia="zh-CN"/>
              </w:rPr>
              <w:t>37.2</w:t>
            </w:r>
          </w:p>
        </w:tc>
        <w:tc>
          <w:tcPr>
            <w:tcW w:w="1933"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Cs/>
                <w:color w:val="auto"/>
                <w:szCs w:val="28"/>
                <w:highlight w:val="none"/>
                <w:lang w:eastAsia="zh-CN"/>
              </w:rPr>
            </w:pPr>
            <w:r>
              <w:rPr>
                <w:rFonts w:hint="default" w:ascii="宋体" w:hAnsi="宋体" w:eastAsia="宋体"/>
                <w:color w:val="auto"/>
                <w:highlight w:val="none"/>
                <w:lang w:eastAsia="zh-CN"/>
              </w:rPr>
              <w:t>社保证明材料</w:t>
            </w:r>
            <w:r>
              <w:rPr>
                <w:rFonts w:hint="eastAsia" w:ascii="宋体" w:hAnsi="宋体" w:eastAsia="宋体"/>
                <w:color w:val="auto"/>
                <w:szCs w:val="28"/>
                <w:highlight w:val="none"/>
                <w:lang w:eastAsia="zh-CN"/>
              </w:rPr>
              <w:t>（如有）</w:t>
            </w:r>
          </w:p>
        </w:tc>
        <w:tc>
          <w:tcPr>
            <w:tcW w:w="6921"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color w:val="auto"/>
                <w:highlight w:val="none"/>
                <w:lang w:eastAsia="zh-CN"/>
              </w:rPr>
            </w:pPr>
            <w:r>
              <w:rPr>
                <w:rFonts w:hint="eastAsia" w:ascii="宋体" w:hAnsi="宋体" w:eastAsia="宋体"/>
                <w:color w:val="auto"/>
                <w:highlight w:val="none"/>
                <w:lang w:eastAsia="zh-CN"/>
              </w:rPr>
              <w:t>本项目遴选文件中要求提供的社保证明材料为下述形式之一（投标文件中须提供复印件）：</w:t>
            </w:r>
          </w:p>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color w:val="auto"/>
                <w:highlight w:val="none"/>
                <w:lang w:eastAsia="zh-CN"/>
              </w:rPr>
            </w:pPr>
            <w:r>
              <w:rPr>
                <w:rFonts w:hint="eastAsia" w:ascii="宋体" w:hAnsi="宋体" w:eastAsia="宋体"/>
                <w:color w:val="auto"/>
                <w:highlight w:val="none"/>
                <w:lang w:eastAsia="zh-CN"/>
              </w:rPr>
              <w:t>（1）社保部门官方网站查询的缴费记录截图；</w:t>
            </w:r>
          </w:p>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color w:val="auto"/>
                <w:highlight w:val="none"/>
                <w:lang w:eastAsia="zh-CN"/>
              </w:rPr>
            </w:pPr>
            <w:r>
              <w:rPr>
                <w:rFonts w:hint="eastAsia" w:ascii="宋体" w:hAnsi="宋体" w:eastAsia="宋体"/>
                <w:color w:val="auto"/>
                <w:highlight w:val="none"/>
                <w:lang w:eastAsia="zh-CN"/>
              </w:rPr>
              <w:t>（2）社保部门的书面证明材料；</w:t>
            </w:r>
          </w:p>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color w:val="auto"/>
                <w:highlight w:val="none"/>
                <w:lang w:eastAsia="zh-CN"/>
              </w:rPr>
            </w:pPr>
            <w:r>
              <w:rPr>
                <w:rFonts w:hint="eastAsia" w:ascii="宋体" w:hAnsi="宋体" w:eastAsia="宋体"/>
                <w:color w:val="auto"/>
                <w:highlight w:val="none"/>
                <w:lang w:eastAsia="zh-CN"/>
              </w:rPr>
              <w:t>（3）其他经评标委员会认可的证明材料。</w:t>
            </w:r>
          </w:p>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cs="@仿宋_GB2312"/>
                <w:bCs/>
                <w:color w:val="auto"/>
                <w:kern w:val="2"/>
                <w:highlight w:val="none"/>
                <w:lang w:eastAsia="zh-CN"/>
              </w:rPr>
            </w:pPr>
            <w:r>
              <w:rPr>
                <w:rFonts w:hint="eastAsia" w:ascii="宋体" w:hAnsi="宋体" w:eastAsia="宋体"/>
                <w:color w:val="auto"/>
                <w:highlight w:val="none"/>
                <w:lang w:eastAsia="zh-CN"/>
              </w:rPr>
              <w:t>（4）法定代表人参与项目的，无需提供社保证明材料，提供身份证明扫描件即可。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887"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center"/>
              <w:rPr>
                <w:rFonts w:hint="eastAsia" w:ascii="宋体" w:hAnsi="宋体" w:eastAsia="宋体"/>
                <w:color w:val="auto"/>
                <w:kern w:val="2"/>
                <w:highlight w:val="none"/>
                <w:lang w:eastAsia="zh-CN"/>
              </w:rPr>
            </w:pPr>
            <w:r>
              <w:rPr>
                <w:rFonts w:hint="eastAsia" w:ascii="宋体" w:hAnsi="宋体" w:eastAsia="宋体"/>
                <w:color w:val="auto"/>
                <w:kern w:val="2"/>
                <w:highlight w:val="none"/>
                <w:lang w:eastAsia="zh-CN"/>
              </w:rPr>
              <w:t>37.3</w:t>
            </w:r>
          </w:p>
        </w:tc>
        <w:tc>
          <w:tcPr>
            <w:tcW w:w="1933"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Cs/>
                <w:color w:val="auto"/>
                <w:szCs w:val="28"/>
                <w:highlight w:val="none"/>
                <w:lang w:eastAsia="zh-CN"/>
              </w:rPr>
            </w:pPr>
            <w:r>
              <w:rPr>
                <w:rFonts w:hint="default" w:ascii="宋体" w:hAnsi="宋体" w:eastAsia="宋体"/>
                <w:color w:val="auto"/>
                <w:highlight w:val="none"/>
                <w:lang w:eastAsia="zh-CN"/>
              </w:rPr>
              <w:t>本项目提供的其他资料</w:t>
            </w:r>
            <w:r>
              <w:rPr>
                <w:rFonts w:hint="eastAsia" w:ascii="宋体" w:hAnsi="宋体" w:eastAsia="宋体"/>
                <w:color w:val="auto"/>
                <w:szCs w:val="28"/>
                <w:highlight w:val="none"/>
                <w:lang w:eastAsia="zh-CN"/>
              </w:rPr>
              <w:t>（如有）</w:t>
            </w:r>
          </w:p>
        </w:tc>
        <w:tc>
          <w:tcPr>
            <w:tcW w:w="6921"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color w:val="auto"/>
                <w:highlight w:val="none"/>
                <w:u w:val="single"/>
                <w:lang w:eastAsia="zh-CN"/>
              </w:rPr>
            </w:pPr>
            <w:r>
              <w:rPr>
                <w:rFonts w:hint="eastAsia" w:ascii="宋体" w:hAnsi="宋体" w:eastAsia="宋体"/>
                <w:color w:val="auto"/>
                <w:highlight w:val="none"/>
                <w:lang w:eastAsia="zh-CN"/>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887"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center"/>
              <w:rPr>
                <w:rFonts w:hint="eastAsia" w:ascii="宋体" w:hAnsi="宋体" w:eastAsia="宋体"/>
                <w:color w:val="auto"/>
                <w:kern w:val="2"/>
                <w:highlight w:val="none"/>
                <w:lang w:eastAsia="zh-CN"/>
              </w:rPr>
            </w:pPr>
            <w:r>
              <w:rPr>
                <w:rFonts w:hint="eastAsia" w:ascii="宋体" w:hAnsi="宋体" w:eastAsia="宋体"/>
                <w:color w:val="auto"/>
                <w:kern w:val="2"/>
                <w:highlight w:val="none"/>
                <w:lang w:eastAsia="zh-CN"/>
              </w:rPr>
              <w:t>37.4</w:t>
            </w:r>
          </w:p>
        </w:tc>
        <w:tc>
          <w:tcPr>
            <w:tcW w:w="1933"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Cs/>
                <w:color w:val="auto"/>
                <w:szCs w:val="28"/>
                <w:highlight w:val="none"/>
                <w:lang w:eastAsia="zh-CN"/>
              </w:rPr>
            </w:pPr>
            <w:r>
              <w:rPr>
                <w:rFonts w:hint="default" w:ascii="宋体" w:hAnsi="宋体" w:eastAsia="宋体"/>
                <w:color w:val="auto"/>
                <w:highlight w:val="none"/>
              </w:rPr>
              <w:t>重要提示</w:t>
            </w:r>
          </w:p>
        </w:tc>
        <w:tc>
          <w:tcPr>
            <w:tcW w:w="6921" w:type="dxa"/>
            <w:tcMar>
              <w:left w:w="113" w:type="dxa"/>
              <w:right w:w="113" w:type="dxa"/>
            </w:tcMar>
            <w:vAlign w:val="center"/>
          </w:tcPr>
          <w:p>
            <w:pPr>
              <w:keepNext w:val="0"/>
              <w:keepLines w:val="0"/>
              <w:numPr>
                <w:ilvl w:val="255"/>
                <w:numId w:val="0"/>
              </w:numPr>
              <w:suppressLineNumbers w:val="0"/>
              <w:adjustRightInd w:val="0"/>
              <w:snapToGrid w:val="0"/>
              <w:spacing w:before="0" w:beforeAutospacing="0" w:after="0" w:afterAutospacing="0" w:line="360" w:lineRule="auto"/>
              <w:ind w:left="0" w:right="0"/>
              <w:jc w:val="both"/>
              <w:rPr>
                <w:rFonts w:hint="eastAsia" w:ascii="宋体" w:hAnsi="宋体" w:eastAsia="宋体"/>
                <w:color w:val="auto"/>
                <w:highlight w:val="none"/>
                <w:lang w:eastAsia="zh-CN"/>
              </w:rPr>
            </w:pPr>
            <w:r>
              <w:rPr>
                <w:rFonts w:hint="eastAsia" w:ascii="宋体" w:hAnsi="宋体" w:eastAsia="宋体"/>
                <w:color w:val="auto"/>
                <w:highlight w:val="none"/>
                <w:lang w:eastAsia="zh-CN"/>
              </w:rPr>
              <w:t>（1）中标人应在</w:t>
            </w:r>
            <w:r>
              <w:rPr>
                <w:rFonts w:hint="eastAsia" w:ascii="宋体" w:hAnsi="宋体" w:eastAsia="宋体"/>
                <w:color w:val="auto"/>
                <w:highlight w:val="none"/>
                <w:lang w:val="en-US" w:eastAsia="zh-CN"/>
              </w:rPr>
              <w:t>7日内</w:t>
            </w:r>
            <w:r>
              <w:rPr>
                <w:rFonts w:hint="eastAsia" w:ascii="宋体" w:hAnsi="宋体" w:eastAsia="宋体"/>
                <w:color w:val="auto"/>
                <w:highlight w:val="none"/>
                <w:lang w:eastAsia="zh-CN"/>
              </w:rPr>
              <w:t>提交履约担保并与采购人签订合同，若中标人未能在规定期限内提交履约担保或签订合同，采购人有权取消中标人中标资格，并将相关违约行为报送监管部门，追究有关责任；</w:t>
            </w:r>
          </w:p>
          <w:p>
            <w:pPr>
              <w:keepNext w:val="0"/>
              <w:keepLines w:val="0"/>
              <w:numPr>
                <w:ilvl w:val="255"/>
                <w:numId w:val="0"/>
              </w:numPr>
              <w:suppressLineNumbers w:val="0"/>
              <w:adjustRightInd w:val="0"/>
              <w:snapToGrid w:val="0"/>
              <w:spacing w:before="0" w:beforeAutospacing="0" w:after="0" w:afterAutospacing="0" w:line="360" w:lineRule="auto"/>
              <w:ind w:left="0" w:right="0"/>
              <w:jc w:val="both"/>
              <w:rPr>
                <w:rFonts w:hint="eastAsia" w:ascii="宋体" w:hAnsi="宋体" w:eastAsia="宋体"/>
                <w:color w:val="auto"/>
                <w:highlight w:val="none"/>
                <w:lang w:eastAsia="zh-CN"/>
              </w:rPr>
            </w:pPr>
            <w:r>
              <w:rPr>
                <w:rFonts w:hint="eastAsia" w:ascii="宋体" w:hAnsi="宋体" w:eastAsia="宋体"/>
                <w:color w:val="auto"/>
                <w:highlight w:val="none"/>
                <w:lang w:eastAsia="zh-CN"/>
              </w:rPr>
              <w:t>（2）合同签订后，中标人存在规定时间内不组织人员进场开工，不履行供货、安装或服务义务等情况，采购人有权解除合同，并追究违约责任，同时将相关违约行为报送监管部门，追究有关责任；</w:t>
            </w:r>
          </w:p>
          <w:p>
            <w:pPr>
              <w:keepNext w:val="0"/>
              <w:keepLines w:val="0"/>
              <w:numPr>
                <w:ilvl w:val="255"/>
                <w:numId w:val="0"/>
              </w:numPr>
              <w:suppressLineNumbers w:val="0"/>
              <w:adjustRightInd w:val="0"/>
              <w:snapToGrid w:val="0"/>
              <w:spacing w:before="0" w:beforeAutospacing="0" w:after="0" w:afterAutospacing="0" w:line="360" w:lineRule="auto"/>
              <w:ind w:left="0" w:right="0"/>
              <w:jc w:val="both"/>
              <w:rPr>
                <w:rFonts w:hint="eastAsia" w:ascii="宋体" w:hAnsi="宋体" w:eastAsia="宋体"/>
                <w:color w:val="auto"/>
                <w:highlight w:val="none"/>
                <w:lang w:eastAsia="zh-CN"/>
              </w:rPr>
            </w:pPr>
            <w:r>
              <w:rPr>
                <w:rFonts w:hint="eastAsia" w:ascii="宋体" w:hAnsi="宋体" w:eastAsia="宋体"/>
                <w:color w:val="auto"/>
                <w:highlight w:val="none"/>
                <w:lang w:eastAsia="zh-CN"/>
              </w:rPr>
              <w:t xml:space="preserve">（3）中标人中标后被监管部门查实存在违法行为，不满足中标条件的，由采购人取消中标资格，并做好项目后续工作； </w:t>
            </w:r>
          </w:p>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cs="@仿宋_GB2312"/>
                <w:bCs/>
                <w:color w:val="auto"/>
                <w:kern w:val="2"/>
                <w:highlight w:val="none"/>
                <w:lang w:eastAsia="zh-CN"/>
              </w:rPr>
            </w:pPr>
            <w:r>
              <w:rPr>
                <w:rFonts w:hint="eastAsia" w:ascii="宋体" w:hAnsi="宋体" w:eastAsia="宋体"/>
                <w:color w:val="auto"/>
                <w:highlight w:val="none"/>
                <w:lang w:eastAsia="zh-CN"/>
              </w:rPr>
              <w:t>（4）中标人在中标项目发生投诉、信访举报案件、履约存在争议时，拒绝协助配合执法部门调查案件的，采购人可以取消其中标资格或解除合同，并追究其违约责任。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887" w:type="dxa"/>
            <w:tcMar>
              <w:left w:w="113" w:type="dxa"/>
              <w:right w:w="113" w:type="dxa"/>
            </w:tcMar>
            <w:vAlign w:val="center"/>
          </w:tcPr>
          <w:p>
            <w:pPr>
              <w:keepNext w:val="0"/>
              <w:keepLines w:val="0"/>
              <w:suppressLineNumbers w:val="0"/>
              <w:wordWrap w:val="0"/>
              <w:autoSpaceDE w:val="0"/>
              <w:autoSpaceDN w:val="0"/>
              <w:adjustRightInd w:val="0"/>
              <w:snapToGrid w:val="0"/>
              <w:spacing w:before="0" w:beforeAutospacing="0" w:after="0" w:afterAutospacing="0" w:line="360" w:lineRule="auto"/>
              <w:ind w:left="0" w:right="0"/>
              <w:jc w:val="center"/>
              <w:rPr>
                <w:rFonts w:hint="eastAsia" w:ascii="宋体" w:hAnsi="宋体" w:eastAsia="宋体"/>
                <w:color w:val="auto"/>
                <w:kern w:val="2"/>
                <w:highlight w:val="none"/>
                <w:lang w:eastAsia="zh-CN"/>
              </w:rPr>
            </w:pPr>
            <w:r>
              <w:rPr>
                <w:rFonts w:hint="eastAsia" w:ascii="宋体" w:hAnsi="宋体" w:eastAsia="宋体"/>
                <w:color w:val="auto"/>
                <w:kern w:val="2"/>
                <w:highlight w:val="none"/>
                <w:lang w:eastAsia="zh-CN"/>
              </w:rPr>
              <w:t>37.5</w:t>
            </w:r>
          </w:p>
        </w:tc>
        <w:tc>
          <w:tcPr>
            <w:tcW w:w="1933"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b/>
                <w:bCs/>
                <w:color w:val="auto"/>
                <w:highlight w:val="none"/>
              </w:rPr>
            </w:pPr>
            <w:r>
              <w:rPr>
                <w:rFonts w:hint="default" w:ascii="宋体" w:hAnsi="宋体" w:eastAsia="宋体"/>
                <w:color w:val="auto"/>
                <w:highlight w:val="none"/>
              </w:rPr>
              <w:t>解释权</w:t>
            </w:r>
          </w:p>
        </w:tc>
        <w:tc>
          <w:tcPr>
            <w:tcW w:w="6921" w:type="dxa"/>
            <w:tcMar>
              <w:left w:w="113" w:type="dxa"/>
              <w:right w:w="113" w:type="dxa"/>
            </w:tcMar>
            <w:vAlign w:val="center"/>
          </w:tcPr>
          <w:p>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bCs/>
                <w:color w:val="auto"/>
                <w:highlight w:val="none"/>
                <w:lang w:eastAsia="zh-CN"/>
              </w:rPr>
            </w:pPr>
            <w:r>
              <w:rPr>
                <w:rFonts w:hint="eastAsia" w:ascii="宋体" w:hAnsi="宋体" w:eastAsia="宋体"/>
                <w:bCs/>
                <w:color w:val="auto"/>
                <w:highlight w:val="none"/>
                <w:lang w:eastAsia="zh-CN"/>
              </w:rPr>
              <w:t>（1）</w:t>
            </w:r>
            <w:r>
              <w:rPr>
                <w:rFonts w:hint="default" w:ascii="宋体" w:hAnsi="宋体" w:eastAsia="宋体"/>
                <w:bCs/>
                <w:color w:val="auto"/>
                <w:highlight w:val="none"/>
                <w:lang w:eastAsia="zh-CN"/>
              </w:rPr>
              <w:t>构成本</w:t>
            </w:r>
            <w:r>
              <w:rPr>
                <w:rFonts w:hint="eastAsia" w:ascii="宋体" w:hAnsi="宋体" w:eastAsia="宋体"/>
                <w:bCs/>
                <w:color w:val="auto"/>
                <w:highlight w:val="none"/>
                <w:lang w:eastAsia="zh-CN"/>
              </w:rPr>
              <w:t>遴选文件</w:t>
            </w:r>
            <w:r>
              <w:rPr>
                <w:rFonts w:hint="default" w:ascii="宋体" w:hAnsi="宋体" w:eastAsia="宋体"/>
                <w:bCs/>
                <w:color w:val="auto"/>
                <w:highlight w:val="none"/>
                <w:lang w:eastAsia="zh-CN"/>
              </w:rPr>
              <w:t>的各个组成文件应互为解释，互为说</w:t>
            </w:r>
            <w:r>
              <w:rPr>
                <w:rFonts w:hint="eastAsia" w:ascii="宋体" w:hAnsi="宋体" w:eastAsia="宋体"/>
                <w:bCs/>
                <w:color w:val="auto"/>
                <w:highlight w:val="none"/>
                <w:lang w:val="en-US" w:eastAsia="zh-CN"/>
              </w:rPr>
              <w:t>明</w:t>
            </w:r>
            <w:r>
              <w:rPr>
                <w:rFonts w:hint="default" w:ascii="宋体" w:hAnsi="宋体" w:eastAsia="宋体"/>
                <w:bCs/>
                <w:color w:val="auto"/>
                <w:highlight w:val="none"/>
                <w:lang w:eastAsia="zh-CN"/>
              </w:rPr>
              <w:t>；</w:t>
            </w:r>
          </w:p>
          <w:p>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bCs/>
                <w:color w:val="auto"/>
                <w:highlight w:val="none"/>
                <w:lang w:eastAsia="zh-CN"/>
              </w:rPr>
            </w:pPr>
            <w:r>
              <w:rPr>
                <w:rFonts w:hint="eastAsia" w:ascii="宋体" w:hAnsi="宋体" w:eastAsia="宋体"/>
                <w:bCs/>
                <w:color w:val="auto"/>
                <w:highlight w:val="none"/>
                <w:lang w:eastAsia="zh-CN"/>
              </w:rPr>
              <w:t>（2）</w:t>
            </w:r>
            <w:r>
              <w:rPr>
                <w:rFonts w:hint="default" w:ascii="宋体" w:hAnsi="宋体" w:eastAsia="宋体"/>
                <w:bCs/>
                <w:color w:val="auto"/>
                <w:highlight w:val="none"/>
                <w:lang w:eastAsia="zh-CN"/>
              </w:rPr>
              <w:t>同一组成文件中就同一事项的规定或约定不一致的，以编排顺序在后者为准；</w:t>
            </w:r>
          </w:p>
          <w:p>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bCs/>
                <w:color w:val="auto"/>
                <w:highlight w:val="none"/>
                <w:lang w:eastAsia="zh-CN"/>
              </w:rPr>
            </w:pPr>
            <w:r>
              <w:rPr>
                <w:rFonts w:hint="eastAsia" w:ascii="宋体" w:hAnsi="宋体" w:eastAsia="宋体"/>
                <w:bCs/>
                <w:color w:val="auto"/>
                <w:highlight w:val="none"/>
                <w:lang w:eastAsia="zh-CN"/>
              </w:rPr>
              <w:t>（3）</w:t>
            </w:r>
            <w:r>
              <w:rPr>
                <w:rFonts w:hint="default" w:ascii="宋体" w:hAnsi="宋体" w:eastAsia="宋体"/>
                <w:bCs/>
                <w:color w:val="auto"/>
                <w:highlight w:val="none"/>
                <w:lang w:eastAsia="zh-CN"/>
              </w:rPr>
              <w:t>如有不明确或不一致，构成合同文件组成内容的，以合同文件约定内容为准，且以专用合同条款约定的合同文件优先顺序解释；</w:t>
            </w:r>
          </w:p>
          <w:p>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bCs/>
                <w:color w:val="auto"/>
                <w:highlight w:val="none"/>
                <w:lang w:eastAsia="zh-CN"/>
              </w:rPr>
            </w:pPr>
            <w:r>
              <w:rPr>
                <w:rFonts w:hint="eastAsia" w:ascii="宋体" w:hAnsi="宋体" w:eastAsia="宋体"/>
                <w:bCs/>
                <w:color w:val="auto"/>
                <w:highlight w:val="none"/>
                <w:lang w:eastAsia="zh-CN"/>
              </w:rPr>
              <w:t>（4）</w:t>
            </w:r>
            <w:r>
              <w:rPr>
                <w:rFonts w:hint="default" w:ascii="宋体" w:hAnsi="宋体" w:eastAsia="宋体"/>
                <w:bCs/>
                <w:color w:val="auto"/>
                <w:highlight w:val="none"/>
                <w:lang w:eastAsia="zh-CN"/>
              </w:rPr>
              <w:t>除</w:t>
            </w:r>
            <w:r>
              <w:rPr>
                <w:rFonts w:hint="eastAsia" w:ascii="宋体" w:hAnsi="宋体" w:eastAsia="宋体"/>
                <w:bCs/>
                <w:color w:val="auto"/>
                <w:highlight w:val="none"/>
                <w:lang w:eastAsia="zh-CN"/>
              </w:rPr>
              <w:t>遴选文件</w:t>
            </w:r>
            <w:r>
              <w:rPr>
                <w:rFonts w:hint="default" w:ascii="宋体" w:hAnsi="宋体" w:eastAsia="宋体"/>
                <w:bCs/>
                <w:color w:val="auto"/>
                <w:highlight w:val="none"/>
                <w:lang w:eastAsia="zh-CN"/>
              </w:rPr>
              <w:t>中有特别规定外，仅适用于</w:t>
            </w:r>
            <w:r>
              <w:rPr>
                <w:rFonts w:hint="eastAsia" w:ascii="宋体" w:hAnsi="宋体" w:eastAsia="宋体"/>
                <w:bCs/>
                <w:color w:val="auto"/>
                <w:highlight w:val="none"/>
                <w:lang w:eastAsia="zh-CN"/>
              </w:rPr>
              <w:t>遴选</w:t>
            </w:r>
            <w:r>
              <w:rPr>
                <w:rFonts w:hint="default" w:ascii="宋体" w:hAnsi="宋体" w:eastAsia="宋体"/>
                <w:bCs/>
                <w:color w:val="auto"/>
                <w:highlight w:val="none"/>
                <w:lang w:eastAsia="zh-CN"/>
              </w:rPr>
              <w:t>投标阶段的规定，按</w:t>
            </w:r>
            <w:r>
              <w:rPr>
                <w:rFonts w:hint="eastAsia" w:ascii="宋体" w:hAnsi="宋体" w:eastAsia="宋体"/>
                <w:bCs/>
                <w:color w:val="auto"/>
                <w:highlight w:val="none"/>
                <w:lang w:eastAsia="zh-CN"/>
              </w:rPr>
              <w:t>遴选公告、</w:t>
            </w:r>
            <w:r>
              <w:rPr>
                <w:rFonts w:hint="default" w:ascii="宋体" w:hAnsi="宋体" w:eastAsia="宋体"/>
                <w:bCs/>
                <w:color w:val="auto"/>
                <w:highlight w:val="none"/>
                <w:lang w:eastAsia="zh-CN"/>
              </w:rPr>
              <w:t>投标人须知、评标</w:t>
            </w:r>
            <w:r>
              <w:rPr>
                <w:rFonts w:hint="eastAsia" w:ascii="宋体" w:hAnsi="宋体" w:eastAsia="宋体"/>
                <w:bCs/>
                <w:color w:val="auto"/>
                <w:highlight w:val="none"/>
                <w:lang w:eastAsia="zh-CN"/>
              </w:rPr>
              <w:t>方</w:t>
            </w:r>
            <w:r>
              <w:rPr>
                <w:rFonts w:hint="default" w:ascii="宋体" w:hAnsi="宋体" w:eastAsia="宋体"/>
                <w:bCs/>
                <w:color w:val="auto"/>
                <w:highlight w:val="none"/>
                <w:lang w:eastAsia="zh-CN"/>
              </w:rPr>
              <w:t>法</w:t>
            </w:r>
            <w:r>
              <w:rPr>
                <w:rFonts w:hint="eastAsia" w:ascii="宋体" w:hAnsi="宋体" w:eastAsia="宋体"/>
                <w:bCs/>
                <w:color w:val="auto"/>
                <w:highlight w:val="none"/>
                <w:lang w:eastAsia="zh-CN"/>
              </w:rPr>
              <w:t>和标准</w:t>
            </w:r>
            <w:r>
              <w:rPr>
                <w:rFonts w:hint="default" w:ascii="宋体" w:hAnsi="宋体" w:eastAsia="宋体"/>
                <w:bCs/>
                <w:color w:val="auto"/>
                <w:highlight w:val="none"/>
                <w:lang w:eastAsia="zh-CN"/>
              </w:rPr>
              <w:t>、投标文件格式的先后顺序解释；</w:t>
            </w:r>
          </w:p>
          <w:p>
            <w:pPr>
              <w:keepNext w:val="0"/>
              <w:keepLines w:val="0"/>
              <w:suppressLineNumbers w:val="0"/>
              <w:adjustRightInd w:val="0"/>
              <w:snapToGrid w:val="0"/>
              <w:spacing w:before="0" w:beforeAutospacing="0" w:after="0" w:afterAutospacing="0" w:line="360" w:lineRule="auto"/>
              <w:ind w:left="0" w:right="0"/>
              <w:jc w:val="both"/>
              <w:rPr>
                <w:rFonts w:hint="eastAsia" w:ascii="宋体" w:hAnsi="宋体" w:eastAsia="宋体"/>
                <w:color w:val="auto"/>
                <w:highlight w:val="none"/>
                <w:lang w:eastAsia="zh-CN"/>
              </w:rPr>
            </w:pPr>
            <w:r>
              <w:rPr>
                <w:rFonts w:hint="eastAsia" w:ascii="宋体" w:hAnsi="宋体" w:eastAsia="宋体" w:cs="@仿宋_GB2312"/>
                <w:bCs/>
                <w:color w:val="auto"/>
                <w:kern w:val="2"/>
                <w:highlight w:val="none"/>
                <w:lang w:eastAsia="zh-CN"/>
              </w:rPr>
              <w:t>（5）</w:t>
            </w:r>
            <w:r>
              <w:rPr>
                <w:rFonts w:hint="default" w:ascii="宋体" w:hAnsi="宋体" w:eastAsia="宋体" w:cs="@仿宋_GB2312"/>
                <w:bCs/>
                <w:color w:val="auto"/>
                <w:kern w:val="2"/>
                <w:highlight w:val="none"/>
                <w:lang w:eastAsia="zh-CN"/>
              </w:rPr>
              <w:t>按本款前述规定仍不能形成结论的，由</w:t>
            </w:r>
            <w:r>
              <w:rPr>
                <w:rFonts w:hint="eastAsia" w:ascii="宋体" w:hAnsi="宋体" w:eastAsia="宋体" w:cs="@仿宋_GB2312"/>
                <w:bCs/>
                <w:color w:val="auto"/>
                <w:kern w:val="2"/>
                <w:highlight w:val="none"/>
                <w:lang w:eastAsia="zh-CN"/>
              </w:rPr>
              <w:t>采购</w:t>
            </w:r>
            <w:r>
              <w:rPr>
                <w:rFonts w:hint="default" w:ascii="宋体" w:hAnsi="宋体" w:eastAsia="宋体" w:cs="@仿宋_GB2312"/>
                <w:bCs/>
                <w:color w:val="auto"/>
                <w:kern w:val="2"/>
                <w:highlight w:val="none"/>
                <w:lang w:eastAsia="zh-CN"/>
              </w:rPr>
              <w:t>人负责解释。</w:t>
            </w:r>
          </w:p>
        </w:tc>
      </w:tr>
    </w:tbl>
    <w:p>
      <w:pPr>
        <w:adjustRightInd w:val="0"/>
        <w:snapToGrid w:val="0"/>
        <w:spacing w:line="360" w:lineRule="auto"/>
        <w:rPr>
          <w:rFonts w:hint="eastAsia" w:ascii="宋体" w:hAnsi="宋体" w:eastAsia="宋体"/>
          <w:b/>
          <w:bCs/>
          <w:color w:val="auto"/>
          <w:kern w:val="2"/>
          <w:highlight w:val="none"/>
          <w:lang w:eastAsia="zh-CN"/>
        </w:rPr>
      </w:pPr>
    </w:p>
    <w:p>
      <w:pPr>
        <w:rPr>
          <w:rFonts w:hint="eastAsia"/>
          <w:color w:val="auto"/>
          <w:highlight w:val="none"/>
          <w:lang w:eastAsia="zh-CN"/>
        </w:rPr>
      </w:pPr>
      <w:r>
        <w:rPr>
          <w:rFonts w:hint="eastAsia"/>
          <w:color w:val="auto"/>
          <w:highlight w:val="none"/>
          <w:lang w:eastAsia="zh-CN"/>
        </w:rPr>
        <w:br w:type="page"/>
      </w:r>
    </w:p>
    <w:p>
      <w:pPr>
        <w:widowControl/>
        <w:adjustRightInd w:val="0"/>
        <w:snapToGrid w:val="0"/>
        <w:spacing w:line="360" w:lineRule="auto"/>
        <w:jc w:val="center"/>
        <w:rPr>
          <w:rFonts w:hint="eastAsia" w:ascii="宋体" w:hAnsi="宋体" w:eastAsia="宋体"/>
          <w:b/>
          <w:bCs/>
          <w:color w:val="auto"/>
          <w:kern w:val="2"/>
          <w:highlight w:val="none"/>
          <w:lang w:eastAsia="zh-CN"/>
        </w:rPr>
      </w:pPr>
      <w:r>
        <w:rPr>
          <w:rFonts w:hint="eastAsia" w:ascii="宋体" w:hAnsi="宋体" w:eastAsia="宋体"/>
          <w:b/>
          <w:bCs/>
          <w:color w:val="auto"/>
          <w:kern w:val="2"/>
          <w:highlight w:val="none"/>
          <w:lang w:eastAsia="zh-CN"/>
        </w:rPr>
        <w:t>投标人须知正文</w:t>
      </w:r>
    </w:p>
    <w:p>
      <w:pPr>
        <w:adjustRightInd w:val="0"/>
        <w:snapToGrid w:val="0"/>
        <w:spacing w:line="360" w:lineRule="auto"/>
        <w:ind w:firstLine="482" w:firstLineChars="200"/>
        <w:outlineLvl w:val="2"/>
        <w:rPr>
          <w:rFonts w:hint="eastAsia" w:ascii="宋体" w:hAnsi="宋体" w:eastAsia="宋体"/>
          <w:b/>
          <w:bCs/>
          <w:color w:val="auto"/>
          <w:highlight w:val="none"/>
          <w:lang w:eastAsia="zh-CN"/>
        </w:rPr>
      </w:pPr>
      <w:r>
        <w:rPr>
          <w:rFonts w:hint="eastAsia" w:ascii="宋体" w:hAnsi="宋体" w:eastAsia="宋体"/>
          <w:b/>
          <w:bCs/>
          <w:color w:val="auto"/>
          <w:highlight w:val="none"/>
          <w:lang w:eastAsia="zh-CN"/>
        </w:rPr>
        <w:t>1.</w:t>
      </w:r>
      <w:r>
        <w:rPr>
          <w:rFonts w:ascii="宋体" w:hAnsi="宋体" w:eastAsia="宋体"/>
          <w:b/>
          <w:bCs/>
          <w:color w:val="auto"/>
          <w:highlight w:val="none"/>
          <w:lang w:eastAsia="zh-CN"/>
        </w:rPr>
        <w:t>适用范围</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本</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仅适用于本次公开</w:t>
      </w:r>
      <w:r>
        <w:rPr>
          <w:rFonts w:hint="eastAsia" w:ascii="宋体" w:hAnsi="宋体" w:eastAsia="宋体"/>
          <w:color w:val="auto"/>
          <w:highlight w:val="none"/>
          <w:lang w:eastAsia="zh-CN"/>
        </w:rPr>
        <w:t>遴选</w:t>
      </w:r>
      <w:r>
        <w:rPr>
          <w:rFonts w:ascii="宋体" w:hAnsi="宋体" w:eastAsia="宋体"/>
          <w:color w:val="auto"/>
          <w:highlight w:val="none"/>
          <w:lang w:eastAsia="zh-CN"/>
        </w:rPr>
        <w:t>所述的</w:t>
      </w:r>
      <w:r>
        <w:rPr>
          <w:rFonts w:hint="eastAsia" w:ascii="宋体" w:hAnsi="宋体" w:eastAsia="宋体"/>
          <w:color w:val="auto"/>
          <w:highlight w:val="none"/>
          <w:lang w:eastAsia="zh-CN"/>
        </w:rPr>
        <w:t>服务</w:t>
      </w:r>
      <w:r>
        <w:rPr>
          <w:rFonts w:ascii="宋体" w:hAnsi="宋体" w:eastAsia="宋体"/>
          <w:color w:val="auto"/>
          <w:highlight w:val="none"/>
          <w:lang w:eastAsia="zh-CN"/>
        </w:rPr>
        <w:t>项目采购。</w:t>
      </w:r>
    </w:p>
    <w:p>
      <w:pPr>
        <w:adjustRightInd w:val="0"/>
        <w:snapToGrid w:val="0"/>
        <w:spacing w:line="360" w:lineRule="auto"/>
        <w:ind w:firstLine="482" w:firstLineChars="200"/>
        <w:rPr>
          <w:rFonts w:hint="eastAsia" w:ascii="宋体" w:hAnsi="宋体" w:eastAsia="宋体"/>
          <w:b/>
          <w:bCs/>
          <w:color w:val="auto"/>
          <w:highlight w:val="none"/>
          <w:lang w:eastAsia="zh-CN"/>
        </w:rPr>
      </w:pPr>
      <w:r>
        <w:rPr>
          <w:rFonts w:hint="eastAsia" w:ascii="宋体" w:hAnsi="宋体" w:eastAsia="宋体"/>
          <w:b/>
          <w:bCs/>
          <w:color w:val="auto"/>
          <w:highlight w:val="none"/>
          <w:lang w:eastAsia="zh-CN"/>
        </w:rPr>
        <w:t>2.</w:t>
      </w:r>
      <w:r>
        <w:rPr>
          <w:rFonts w:ascii="宋体" w:hAnsi="宋体" w:eastAsia="宋体"/>
          <w:b/>
          <w:bCs/>
          <w:color w:val="auto"/>
          <w:highlight w:val="none"/>
          <w:lang w:eastAsia="zh-CN"/>
        </w:rPr>
        <w:t xml:space="preserve">定义 </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2.1 服务：系指除货物和工程以外的其他政府采购对象，包括咨询、调研、评估、规划、设计、监理、审计、保险、租赁、印刷、维修、物业管理等。</w:t>
      </w:r>
    </w:p>
    <w:p>
      <w:pPr>
        <w:adjustRightInd w:val="0"/>
        <w:snapToGrid w:val="0"/>
        <w:spacing w:line="360" w:lineRule="auto"/>
        <w:ind w:firstLine="480" w:firstLineChars="200"/>
        <w:outlineLvl w:val="2"/>
        <w:rPr>
          <w:rFonts w:hint="eastAsia" w:ascii="宋体" w:hAnsi="宋体" w:eastAsia="宋体"/>
          <w:color w:val="auto"/>
          <w:highlight w:val="none"/>
          <w:lang w:eastAsia="zh-CN"/>
        </w:rPr>
      </w:pPr>
      <w:r>
        <w:rPr>
          <w:rFonts w:hint="eastAsia" w:ascii="宋体" w:hAnsi="宋体" w:eastAsia="宋体"/>
          <w:color w:val="auto"/>
          <w:highlight w:val="none"/>
          <w:lang w:eastAsia="zh-CN"/>
        </w:rPr>
        <w:t>2.2 时限</w:t>
      </w:r>
      <w:r>
        <w:rPr>
          <w:rFonts w:ascii="宋体" w:hAnsi="宋体" w:eastAsia="宋体"/>
          <w:color w:val="auto"/>
          <w:highlight w:val="none"/>
          <w:lang w:eastAsia="zh-CN"/>
        </w:rPr>
        <w:t>（年份、月份等）计算：系指从开标之日向前追溯X 年/月（“X”为“一”及以后整数）起算。</w:t>
      </w:r>
    </w:p>
    <w:p>
      <w:pPr>
        <w:adjustRightInd w:val="0"/>
        <w:snapToGrid w:val="0"/>
        <w:spacing w:line="360" w:lineRule="auto"/>
        <w:ind w:firstLine="482" w:firstLineChars="200"/>
        <w:outlineLvl w:val="2"/>
        <w:rPr>
          <w:rFonts w:hint="eastAsia" w:ascii="宋体" w:hAnsi="宋体" w:eastAsia="宋体"/>
          <w:b/>
          <w:bCs/>
          <w:color w:val="auto"/>
          <w:highlight w:val="none"/>
          <w:lang w:eastAsia="zh-CN"/>
        </w:rPr>
      </w:pPr>
      <w:r>
        <w:rPr>
          <w:rFonts w:ascii="宋体" w:hAnsi="宋体" w:eastAsia="宋体"/>
          <w:b/>
          <w:bCs/>
          <w:color w:val="auto"/>
          <w:highlight w:val="none"/>
          <w:lang w:eastAsia="zh-CN"/>
        </w:rPr>
        <w:t xml:space="preserve">3.采购人、采购代理机构及投标人 </w:t>
      </w:r>
    </w:p>
    <w:p>
      <w:pPr>
        <w:adjustRightInd w:val="0"/>
        <w:snapToGrid w:val="0"/>
        <w:spacing w:line="360" w:lineRule="auto"/>
        <w:ind w:firstLine="480" w:firstLineChars="200"/>
        <w:outlineLvl w:val="2"/>
        <w:rPr>
          <w:rFonts w:hint="eastAsia" w:ascii="宋体" w:hAnsi="宋体" w:eastAsia="宋体"/>
          <w:color w:val="auto"/>
          <w:highlight w:val="none"/>
          <w:lang w:eastAsia="zh-CN"/>
        </w:rPr>
      </w:pPr>
      <w:r>
        <w:rPr>
          <w:rFonts w:ascii="宋体" w:hAnsi="宋体" w:eastAsia="宋体"/>
          <w:color w:val="auto"/>
          <w:highlight w:val="none"/>
          <w:lang w:eastAsia="zh-CN"/>
        </w:rPr>
        <w:t>3.1 采购人：是指依法开展政府采购活动的国家机关、事业单位、团体组织。</w:t>
      </w:r>
    </w:p>
    <w:p>
      <w:pPr>
        <w:adjustRightInd w:val="0"/>
        <w:snapToGrid w:val="0"/>
        <w:spacing w:line="360" w:lineRule="auto"/>
        <w:ind w:firstLine="480" w:firstLineChars="200"/>
        <w:outlineLvl w:val="2"/>
        <w:rPr>
          <w:rFonts w:hint="eastAsia" w:ascii="宋体" w:hAnsi="宋体" w:eastAsia="宋体"/>
          <w:color w:val="auto"/>
          <w:highlight w:val="none"/>
          <w:lang w:eastAsia="zh-CN"/>
        </w:rPr>
      </w:pPr>
      <w:r>
        <w:rPr>
          <w:rFonts w:ascii="宋体" w:hAnsi="宋体" w:eastAsia="宋体"/>
          <w:color w:val="auto"/>
          <w:highlight w:val="none"/>
          <w:lang w:eastAsia="zh-CN"/>
        </w:rPr>
        <w:t>3.2 采购代理机构：是指集中采购机构或从事采购代理业务的社会中介机构。</w:t>
      </w:r>
    </w:p>
    <w:p>
      <w:pPr>
        <w:adjustRightInd w:val="0"/>
        <w:snapToGrid w:val="0"/>
        <w:spacing w:line="360" w:lineRule="auto"/>
        <w:ind w:firstLine="480" w:firstLineChars="200"/>
        <w:outlineLvl w:val="2"/>
        <w:rPr>
          <w:rFonts w:hint="eastAsia" w:ascii="宋体" w:hAnsi="宋体" w:eastAsia="宋体"/>
          <w:color w:val="auto"/>
          <w:highlight w:val="none"/>
          <w:lang w:eastAsia="zh-CN"/>
        </w:rPr>
      </w:pPr>
      <w:r>
        <w:rPr>
          <w:rFonts w:ascii="宋体" w:hAnsi="宋体" w:eastAsia="宋体"/>
          <w:color w:val="auto"/>
          <w:highlight w:val="none"/>
          <w:lang w:eastAsia="zh-CN"/>
        </w:rPr>
        <w:t>3.3 政府采购监督管理部门：各级人民政府指定的有关部门依法履行与政府采购活动有关的监督管理职责。</w:t>
      </w:r>
    </w:p>
    <w:p>
      <w:pPr>
        <w:adjustRightInd w:val="0"/>
        <w:snapToGrid w:val="0"/>
        <w:spacing w:line="360" w:lineRule="auto"/>
        <w:ind w:firstLine="480" w:firstLineChars="200"/>
        <w:outlineLvl w:val="2"/>
        <w:rPr>
          <w:rFonts w:hint="eastAsia" w:ascii="宋体" w:hAnsi="宋体" w:eastAsia="宋体"/>
          <w:color w:val="auto"/>
          <w:highlight w:val="none"/>
          <w:lang w:eastAsia="zh-CN"/>
        </w:rPr>
      </w:pPr>
      <w:r>
        <w:rPr>
          <w:rFonts w:ascii="宋体" w:hAnsi="宋体" w:eastAsia="宋体"/>
          <w:color w:val="auto"/>
          <w:highlight w:val="none"/>
          <w:lang w:eastAsia="zh-CN"/>
        </w:rPr>
        <w:t>3.4 投标人：是指向采购人提供货物、工程或者服务的法人、非法人组织或者自然人。分支机构不得参加政府采购活动，但银行、保险、石油石化、电力、电信等特殊行业除外。本项目的投标人须满足以下条件：</w:t>
      </w:r>
    </w:p>
    <w:p>
      <w:pPr>
        <w:adjustRightInd w:val="0"/>
        <w:snapToGrid w:val="0"/>
        <w:spacing w:line="360" w:lineRule="auto"/>
        <w:ind w:firstLine="480" w:firstLineChars="200"/>
        <w:outlineLvl w:val="2"/>
        <w:rPr>
          <w:rFonts w:hint="eastAsia" w:ascii="宋体" w:hAnsi="宋体" w:eastAsia="宋体"/>
          <w:color w:val="auto"/>
          <w:highlight w:val="none"/>
          <w:lang w:eastAsia="zh-CN"/>
        </w:rPr>
      </w:pPr>
      <w:r>
        <w:rPr>
          <w:rFonts w:ascii="宋体" w:hAnsi="宋体" w:eastAsia="宋体"/>
          <w:color w:val="auto"/>
          <w:highlight w:val="none"/>
          <w:lang w:eastAsia="zh-CN"/>
        </w:rPr>
        <w:t>3.4.1 在中华人民共和国境内注册，能够独立承担民事责任，有生产或供应能力的供应商。</w:t>
      </w:r>
    </w:p>
    <w:p>
      <w:pPr>
        <w:adjustRightInd w:val="0"/>
        <w:snapToGrid w:val="0"/>
        <w:spacing w:line="360" w:lineRule="auto"/>
        <w:ind w:firstLine="480" w:firstLineChars="200"/>
        <w:outlineLvl w:val="2"/>
        <w:rPr>
          <w:rFonts w:hint="eastAsia" w:ascii="宋体" w:hAnsi="宋体" w:eastAsia="宋体"/>
          <w:color w:val="auto"/>
          <w:highlight w:val="none"/>
          <w:lang w:eastAsia="zh-CN"/>
        </w:rPr>
      </w:pPr>
      <w:r>
        <w:rPr>
          <w:rFonts w:ascii="宋体" w:hAnsi="宋体" w:eastAsia="宋体"/>
          <w:color w:val="auto"/>
          <w:highlight w:val="none"/>
          <w:lang w:eastAsia="zh-CN"/>
        </w:rPr>
        <w:t>3.4.2 具备《中华人民共和国政府采购法》第二十二条关于供应商条件的规定，遵守本项目采购人本级和上级</w:t>
      </w:r>
      <w:r>
        <w:rPr>
          <w:rFonts w:hint="eastAsia" w:ascii="宋体" w:hAnsi="宋体" w:eastAsia="宋体"/>
          <w:color w:val="auto"/>
          <w:highlight w:val="none"/>
          <w:lang w:eastAsia="zh-CN"/>
        </w:rPr>
        <w:t>政府采购监督管理</w:t>
      </w:r>
      <w:r>
        <w:rPr>
          <w:rFonts w:ascii="宋体" w:hAnsi="宋体" w:eastAsia="宋体"/>
          <w:color w:val="auto"/>
          <w:highlight w:val="none"/>
          <w:lang w:eastAsia="zh-CN"/>
        </w:rPr>
        <w:t>部门政府采购的有关规定。</w:t>
      </w:r>
    </w:p>
    <w:p>
      <w:pPr>
        <w:adjustRightInd w:val="0"/>
        <w:snapToGrid w:val="0"/>
        <w:spacing w:line="360" w:lineRule="auto"/>
        <w:ind w:firstLine="480" w:firstLineChars="200"/>
        <w:outlineLvl w:val="2"/>
        <w:rPr>
          <w:rFonts w:hint="eastAsia" w:ascii="宋体" w:hAnsi="宋体" w:eastAsia="宋体"/>
          <w:color w:val="auto"/>
          <w:highlight w:val="none"/>
          <w:lang w:eastAsia="zh-CN"/>
        </w:rPr>
      </w:pPr>
      <w:r>
        <w:rPr>
          <w:rFonts w:ascii="宋体" w:hAnsi="宋体" w:eastAsia="宋体"/>
          <w:color w:val="auto"/>
          <w:highlight w:val="none"/>
          <w:lang w:eastAsia="zh-CN"/>
        </w:rPr>
        <w:t>3.4.3 以采购代理机构认可的方式获得了本项目的</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w:t>
      </w:r>
    </w:p>
    <w:p>
      <w:pPr>
        <w:adjustRightInd w:val="0"/>
        <w:snapToGrid w:val="0"/>
        <w:spacing w:line="360" w:lineRule="auto"/>
        <w:ind w:firstLine="480" w:firstLineChars="200"/>
        <w:outlineLvl w:val="2"/>
        <w:rPr>
          <w:rFonts w:hint="eastAsia" w:ascii="宋体" w:hAnsi="宋体" w:eastAsia="宋体"/>
          <w:color w:val="auto"/>
          <w:highlight w:val="none"/>
          <w:lang w:eastAsia="zh-CN"/>
        </w:rPr>
      </w:pPr>
      <w:r>
        <w:rPr>
          <w:rFonts w:ascii="宋体" w:hAnsi="宋体" w:eastAsia="宋体"/>
          <w:color w:val="auto"/>
          <w:highlight w:val="none"/>
          <w:lang w:eastAsia="zh-CN"/>
        </w:rPr>
        <w:t>3.4.4 若采购需求中写明允许采购进口产品，投标人应保证所投产品可履行合法报通关手续进入中国关境内。若采购需求中未写明允许采购进口产品，如投标人所投产品为进口产品，其投标将被认定为</w:t>
      </w:r>
      <w:r>
        <w:rPr>
          <w:rFonts w:ascii="宋体" w:hAnsi="宋体" w:eastAsia="宋体"/>
          <w:b/>
          <w:bCs/>
          <w:color w:val="auto"/>
          <w:highlight w:val="none"/>
          <w:lang w:eastAsia="zh-CN"/>
        </w:rPr>
        <w:t>投标无效</w:t>
      </w:r>
      <w:r>
        <w:rPr>
          <w:rFonts w:ascii="宋体" w:hAnsi="宋体" w:eastAsia="宋体"/>
          <w:color w:val="auto"/>
          <w:highlight w:val="none"/>
          <w:lang w:eastAsia="zh-CN"/>
        </w:rPr>
        <w:t>。</w:t>
      </w:r>
    </w:p>
    <w:p>
      <w:pPr>
        <w:pStyle w:val="8"/>
        <w:adjustRightInd w:val="0"/>
        <w:snapToGrid w:val="0"/>
        <w:spacing w:before="0" w:line="360" w:lineRule="auto"/>
        <w:ind w:left="0" w:firstLine="480" w:firstLineChars="200"/>
        <w:rPr>
          <w:rFonts w:hint="eastAsia"/>
          <w:color w:val="auto"/>
          <w:highlight w:val="none"/>
          <w:lang w:eastAsia="zh-CN"/>
        </w:rPr>
      </w:pPr>
      <w:r>
        <w:rPr>
          <w:color w:val="auto"/>
          <w:highlight w:val="none"/>
          <w:lang w:eastAsia="zh-CN"/>
        </w:rPr>
        <w:t>3.4.5若</w:t>
      </w:r>
      <w:r>
        <w:rPr>
          <w:rFonts w:hint="eastAsia"/>
          <w:color w:val="auto"/>
          <w:highlight w:val="none"/>
          <w:lang w:eastAsia="zh-CN"/>
        </w:rPr>
        <w:t>遴选公告</w:t>
      </w:r>
      <w:r>
        <w:rPr>
          <w:color w:val="auto"/>
          <w:highlight w:val="none"/>
          <w:lang w:eastAsia="zh-CN"/>
        </w:rPr>
        <w:t>中写明专门面向中小企业采购的，如投标人提供的服务非中小企业承接的，其投标将被认定为</w:t>
      </w:r>
      <w:r>
        <w:rPr>
          <w:b/>
          <w:bCs/>
          <w:color w:val="auto"/>
          <w:highlight w:val="none"/>
          <w:lang w:eastAsia="zh-CN"/>
        </w:rPr>
        <w:t>投标无效</w:t>
      </w:r>
      <w:r>
        <w:rPr>
          <w:color w:val="auto"/>
          <w:highlight w:val="none"/>
          <w:lang w:eastAsia="zh-CN"/>
        </w:rPr>
        <w:t>。</w:t>
      </w:r>
    </w:p>
    <w:p>
      <w:pPr>
        <w:adjustRightInd w:val="0"/>
        <w:snapToGrid w:val="0"/>
        <w:spacing w:line="360" w:lineRule="auto"/>
        <w:ind w:firstLine="480" w:firstLineChars="200"/>
        <w:outlineLvl w:val="2"/>
        <w:rPr>
          <w:rFonts w:hint="eastAsia" w:ascii="宋体" w:hAnsi="宋体" w:eastAsia="宋体"/>
          <w:color w:val="auto"/>
          <w:highlight w:val="none"/>
          <w:lang w:eastAsia="zh-CN"/>
        </w:rPr>
      </w:pPr>
      <w:r>
        <w:rPr>
          <w:rFonts w:ascii="宋体" w:hAnsi="宋体" w:eastAsia="宋体"/>
          <w:color w:val="auto"/>
          <w:highlight w:val="none"/>
          <w:lang w:eastAsia="zh-CN"/>
        </w:rPr>
        <w:t>3.5 若</w:t>
      </w:r>
      <w:r>
        <w:rPr>
          <w:rFonts w:hint="eastAsia" w:ascii="宋体" w:hAnsi="宋体" w:eastAsia="宋体"/>
          <w:color w:val="auto"/>
          <w:highlight w:val="none"/>
          <w:lang w:eastAsia="zh-CN"/>
        </w:rPr>
        <w:t>遴选</w:t>
      </w:r>
      <w:r>
        <w:rPr>
          <w:rFonts w:ascii="宋体" w:hAnsi="宋体" w:eastAsia="宋体"/>
          <w:color w:val="auto"/>
          <w:highlight w:val="none"/>
          <w:lang w:eastAsia="zh-CN"/>
        </w:rPr>
        <w:t>公告中允许联合体投标，对联合体规定如下：</w:t>
      </w:r>
    </w:p>
    <w:p>
      <w:pPr>
        <w:adjustRightInd w:val="0"/>
        <w:snapToGrid w:val="0"/>
        <w:spacing w:line="360" w:lineRule="auto"/>
        <w:ind w:firstLine="480" w:firstLineChars="200"/>
        <w:outlineLvl w:val="2"/>
        <w:rPr>
          <w:rFonts w:hint="eastAsia" w:ascii="宋体" w:hAnsi="宋体" w:eastAsia="宋体"/>
          <w:color w:val="auto"/>
          <w:highlight w:val="none"/>
          <w:lang w:eastAsia="zh-CN"/>
        </w:rPr>
      </w:pPr>
      <w:r>
        <w:rPr>
          <w:rFonts w:ascii="宋体" w:hAnsi="宋体" w:eastAsia="宋体"/>
          <w:color w:val="auto"/>
          <w:highlight w:val="none"/>
          <w:lang w:eastAsia="zh-CN"/>
        </w:rPr>
        <w:t>3.5.1 两个以上供应商可以组成一个投标联合体，以一个投标人的身份投标。</w:t>
      </w:r>
    </w:p>
    <w:p>
      <w:pPr>
        <w:adjustRightInd w:val="0"/>
        <w:snapToGrid w:val="0"/>
        <w:spacing w:line="360" w:lineRule="auto"/>
        <w:ind w:firstLine="480" w:firstLineChars="200"/>
        <w:outlineLvl w:val="2"/>
        <w:rPr>
          <w:rFonts w:hint="eastAsia" w:ascii="宋体" w:hAnsi="宋体" w:eastAsia="宋体"/>
          <w:color w:val="auto"/>
          <w:highlight w:val="none"/>
          <w:lang w:eastAsia="zh-CN"/>
        </w:rPr>
      </w:pPr>
      <w:r>
        <w:rPr>
          <w:rFonts w:ascii="宋体" w:hAnsi="宋体" w:eastAsia="宋体"/>
          <w:color w:val="auto"/>
          <w:highlight w:val="none"/>
          <w:lang w:eastAsia="zh-CN"/>
        </w:rPr>
        <w:t>3.5.2 联合体各方均应符合《中华人民共和国政府采购法》第二十二条规定的条件</w:t>
      </w:r>
      <w:r>
        <w:rPr>
          <w:rFonts w:hint="eastAsia" w:ascii="宋体" w:hAnsi="宋体" w:eastAsia="宋体"/>
          <w:color w:val="auto"/>
          <w:highlight w:val="none"/>
          <w:lang w:eastAsia="zh-CN"/>
        </w:rPr>
        <w:t>。</w:t>
      </w:r>
    </w:p>
    <w:p>
      <w:pPr>
        <w:adjustRightInd w:val="0"/>
        <w:snapToGrid w:val="0"/>
        <w:spacing w:line="360" w:lineRule="auto"/>
        <w:ind w:firstLine="480" w:firstLineChars="200"/>
        <w:outlineLvl w:val="2"/>
        <w:rPr>
          <w:rFonts w:hint="eastAsia" w:ascii="宋体" w:hAnsi="宋体" w:eastAsia="宋体"/>
          <w:color w:val="auto"/>
          <w:highlight w:val="none"/>
          <w:lang w:eastAsia="zh-CN"/>
        </w:rPr>
      </w:pPr>
      <w:r>
        <w:rPr>
          <w:rFonts w:ascii="宋体" w:hAnsi="宋体" w:eastAsia="宋体"/>
          <w:color w:val="auto"/>
          <w:highlight w:val="none"/>
          <w:lang w:eastAsia="zh-CN"/>
        </w:rPr>
        <w:t xml:space="preserve">3.5.3 采购人根据采购项目对投标人的特殊要求，联合体中至少应当有一方符合相关规定。 </w:t>
      </w:r>
    </w:p>
    <w:p>
      <w:pPr>
        <w:adjustRightInd w:val="0"/>
        <w:snapToGrid w:val="0"/>
        <w:spacing w:line="360" w:lineRule="auto"/>
        <w:ind w:firstLine="480" w:firstLineChars="200"/>
        <w:outlineLvl w:val="2"/>
        <w:rPr>
          <w:rFonts w:hint="eastAsia" w:ascii="宋体" w:hAnsi="宋体" w:eastAsia="宋体"/>
          <w:color w:val="auto"/>
          <w:highlight w:val="none"/>
          <w:lang w:eastAsia="zh-CN"/>
        </w:rPr>
      </w:pPr>
      <w:r>
        <w:rPr>
          <w:rFonts w:ascii="宋体" w:hAnsi="宋体" w:eastAsia="宋体"/>
          <w:color w:val="auto"/>
          <w:highlight w:val="none"/>
          <w:lang w:eastAsia="zh-CN"/>
        </w:rPr>
        <w:t xml:space="preserve">3.5.4 联合体各方应签订联合协议，明确约定联合体各方承担的工作和相应的责任，并将联合协议作为投标文件的一部分提交。 </w:t>
      </w:r>
    </w:p>
    <w:p>
      <w:pPr>
        <w:adjustRightInd w:val="0"/>
        <w:snapToGrid w:val="0"/>
        <w:spacing w:line="360" w:lineRule="auto"/>
        <w:ind w:firstLine="480" w:firstLineChars="200"/>
        <w:outlineLvl w:val="2"/>
        <w:rPr>
          <w:rFonts w:hint="eastAsia" w:ascii="宋体" w:hAnsi="宋体" w:eastAsia="宋体"/>
          <w:color w:val="auto"/>
          <w:highlight w:val="none"/>
          <w:lang w:eastAsia="zh-CN"/>
        </w:rPr>
      </w:pPr>
      <w:r>
        <w:rPr>
          <w:rFonts w:ascii="宋体" w:hAnsi="宋体" w:eastAsia="宋体"/>
          <w:color w:val="auto"/>
          <w:highlight w:val="none"/>
          <w:lang w:eastAsia="zh-CN"/>
        </w:rPr>
        <w:t>3.5.5 大中型企业、其他自然人、法人或者非法人组织与小型、微型企业组成联合体共同参加投标，联合协议中应写明小型、微型企业的协议合同金额占到联合协议投标总金额的比例。</w:t>
      </w:r>
    </w:p>
    <w:p>
      <w:pPr>
        <w:adjustRightInd w:val="0"/>
        <w:snapToGrid w:val="0"/>
        <w:spacing w:line="360" w:lineRule="auto"/>
        <w:ind w:firstLine="480" w:firstLineChars="200"/>
        <w:outlineLvl w:val="2"/>
        <w:rPr>
          <w:rFonts w:hint="eastAsia" w:ascii="宋体" w:hAnsi="宋体" w:eastAsia="宋体"/>
          <w:color w:val="auto"/>
          <w:highlight w:val="none"/>
          <w:lang w:eastAsia="zh-CN"/>
        </w:rPr>
      </w:pPr>
      <w:r>
        <w:rPr>
          <w:rFonts w:ascii="宋体" w:hAnsi="宋体" w:eastAsia="宋体"/>
          <w:color w:val="auto"/>
          <w:highlight w:val="none"/>
          <w:lang w:eastAsia="zh-CN"/>
        </w:rPr>
        <w:t>3.5.6 联合体中有同类资质的供应商按照联合体分工承担相同工作的，应当按照资质等级较低的供应商确定资质等级。</w:t>
      </w:r>
    </w:p>
    <w:p>
      <w:pPr>
        <w:adjustRightInd w:val="0"/>
        <w:snapToGrid w:val="0"/>
        <w:spacing w:line="360" w:lineRule="auto"/>
        <w:ind w:firstLine="480" w:firstLineChars="200"/>
        <w:outlineLvl w:val="2"/>
        <w:rPr>
          <w:rFonts w:hint="eastAsia" w:ascii="宋体" w:hAnsi="宋体" w:eastAsia="宋体"/>
          <w:color w:val="auto"/>
          <w:highlight w:val="none"/>
          <w:lang w:eastAsia="zh-CN"/>
        </w:rPr>
      </w:pPr>
      <w:r>
        <w:rPr>
          <w:rFonts w:ascii="宋体" w:hAnsi="宋体" w:eastAsia="宋体"/>
          <w:color w:val="auto"/>
          <w:highlight w:val="none"/>
          <w:lang w:eastAsia="zh-CN"/>
        </w:rPr>
        <w:t>3.5.7 以联合体形式参加政府采购活动的，联合体各方不得再单独参加或者与其他供应商另外组成联合体参加本项目投标，否则相关投标将被认定为</w:t>
      </w:r>
      <w:r>
        <w:rPr>
          <w:rFonts w:ascii="宋体" w:hAnsi="宋体" w:eastAsia="宋体"/>
          <w:b/>
          <w:bCs/>
          <w:color w:val="auto"/>
          <w:highlight w:val="none"/>
          <w:lang w:eastAsia="zh-CN"/>
        </w:rPr>
        <w:t>投标无效</w:t>
      </w:r>
      <w:r>
        <w:rPr>
          <w:rFonts w:ascii="宋体" w:hAnsi="宋体" w:eastAsia="宋体"/>
          <w:color w:val="auto"/>
          <w:highlight w:val="none"/>
          <w:lang w:eastAsia="zh-CN"/>
        </w:rPr>
        <w:t>。</w:t>
      </w:r>
    </w:p>
    <w:p>
      <w:pPr>
        <w:adjustRightInd w:val="0"/>
        <w:snapToGrid w:val="0"/>
        <w:spacing w:line="360" w:lineRule="auto"/>
        <w:ind w:firstLine="480" w:firstLineChars="200"/>
        <w:outlineLvl w:val="2"/>
        <w:rPr>
          <w:rFonts w:hint="eastAsia" w:ascii="宋体" w:hAnsi="宋体" w:eastAsia="宋体"/>
          <w:color w:val="auto"/>
          <w:highlight w:val="none"/>
          <w:lang w:eastAsia="zh-CN"/>
        </w:rPr>
      </w:pPr>
      <w:r>
        <w:rPr>
          <w:rFonts w:ascii="宋体" w:hAnsi="宋体" w:eastAsia="宋体"/>
          <w:color w:val="auto"/>
          <w:highlight w:val="none"/>
          <w:lang w:eastAsia="zh-CN"/>
        </w:rPr>
        <w:t>3.5.8 对联合体投标的其他资格要求见投标人资格。</w:t>
      </w:r>
    </w:p>
    <w:p>
      <w:pPr>
        <w:adjustRightInd w:val="0"/>
        <w:snapToGrid w:val="0"/>
        <w:spacing w:line="360" w:lineRule="auto"/>
        <w:ind w:firstLine="480" w:firstLineChars="200"/>
        <w:outlineLvl w:val="2"/>
        <w:rPr>
          <w:rFonts w:hint="eastAsia" w:ascii="宋体" w:hAnsi="宋体" w:eastAsia="宋体"/>
          <w:color w:val="auto"/>
          <w:highlight w:val="none"/>
          <w:lang w:eastAsia="zh-CN"/>
        </w:rPr>
      </w:pPr>
      <w:r>
        <w:rPr>
          <w:rFonts w:ascii="宋体" w:hAnsi="宋体" w:eastAsia="宋体"/>
          <w:color w:val="auto"/>
          <w:highlight w:val="none"/>
          <w:lang w:eastAsia="zh-CN"/>
        </w:rPr>
        <w:t>3.6 单位负责人为同一人或者存在直接控股、管理关系的不同供应商，不得参加同一合同项下的政府采购活动。否则其投标将被认定为</w:t>
      </w:r>
      <w:r>
        <w:rPr>
          <w:rFonts w:ascii="宋体" w:hAnsi="宋体" w:eastAsia="宋体"/>
          <w:b/>
          <w:bCs/>
          <w:color w:val="auto"/>
          <w:highlight w:val="none"/>
          <w:lang w:eastAsia="zh-CN"/>
        </w:rPr>
        <w:t>投标无效</w:t>
      </w:r>
      <w:r>
        <w:rPr>
          <w:rFonts w:ascii="宋体" w:hAnsi="宋体" w:eastAsia="宋体"/>
          <w:color w:val="auto"/>
          <w:highlight w:val="none"/>
          <w:lang w:eastAsia="zh-CN"/>
        </w:rPr>
        <w:t>。</w:t>
      </w:r>
    </w:p>
    <w:p>
      <w:pPr>
        <w:adjustRightInd w:val="0"/>
        <w:snapToGrid w:val="0"/>
        <w:spacing w:line="360" w:lineRule="auto"/>
        <w:ind w:firstLine="480" w:firstLineChars="200"/>
        <w:outlineLvl w:val="2"/>
        <w:rPr>
          <w:rFonts w:hint="eastAsia" w:ascii="宋体" w:hAnsi="宋体" w:eastAsia="宋体"/>
          <w:color w:val="auto"/>
          <w:highlight w:val="none"/>
          <w:lang w:eastAsia="zh-CN"/>
        </w:rPr>
      </w:pPr>
      <w:r>
        <w:rPr>
          <w:rFonts w:ascii="宋体" w:hAnsi="宋体" w:eastAsia="宋体"/>
          <w:color w:val="auto"/>
          <w:highlight w:val="none"/>
          <w:lang w:eastAsia="zh-CN"/>
        </w:rPr>
        <w:t>3.7 为本项目提供过整体设计、规范编制或者项目管理、监理、检测等服务的供应商，不得再参加本项目上述服务以外的其他采购活动。否则其投标将被认定为</w:t>
      </w:r>
      <w:r>
        <w:rPr>
          <w:rFonts w:ascii="宋体" w:hAnsi="宋体" w:eastAsia="宋体"/>
          <w:b/>
          <w:bCs/>
          <w:color w:val="auto"/>
          <w:highlight w:val="none"/>
          <w:lang w:eastAsia="zh-CN"/>
        </w:rPr>
        <w:t>投标无效</w:t>
      </w:r>
      <w:r>
        <w:rPr>
          <w:rFonts w:ascii="宋体" w:hAnsi="宋体" w:eastAsia="宋体"/>
          <w:color w:val="auto"/>
          <w:highlight w:val="none"/>
          <w:lang w:eastAsia="zh-CN"/>
        </w:rPr>
        <w:t>。</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4.资金落实情况</w:t>
      </w:r>
    </w:p>
    <w:p>
      <w:pPr>
        <w:adjustRightInd w:val="0"/>
        <w:snapToGrid w:val="0"/>
        <w:spacing w:line="360" w:lineRule="auto"/>
        <w:ind w:firstLine="480" w:firstLineChars="200"/>
        <w:outlineLvl w:val="2"/>
        <w:rPr>
          <w:rFonts w:hint="eastAsia" w:ascii="宋体" w:hAnsi="宋体" w:eastAsia="宋体"/>
          <w:color w:val="auto"/>
          <w:highlight w:val="none"/>
          <w:lang w:eastAsia="zh-CN"/>
        </w:rPr>
      </w:pPr>
      <w:r>
        <w:rPr>
          <w:rFonts w:hint="eastAsia" w:ascii="宋体" w:hAnsi="宋体" w:eastAsia="宋体"/>
          <w:color w:val="auto"/>
          <w:highlight w:val="none"/>
          <w:lang w:eastAsia="zh-CN"/>
        </w:rPr>
        <w:t>4.1 本项目的采购人已获得足以支付本次遴选后所签订的合同项下的资金。</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5.投标费用</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不论投标的结果如何，投标人应承担所有与准备和参加投标有关的费用。</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6.适用法律</w:t>
      </w:r>
    </w:p>
    <w:p>
      <w:pPr>
        <w:adjustRightInd w:val="0"/>
        <w:snapToGrid w:val="0"/>
        <w:spacing w:line="360" w:lineRule="auto"/>
        <w:ind w:firstLine="480" w:firstLineChars="200"/>
        <w:rPr>
          <w:rFonts w:hint="eastAsia" w:ascii="宋体" w:hAnsi="宋体" w:eastAsia="宋体"/>
          <w:b/>
          <w:color w:val="auto"/>
          <w:highlight w:val="none"/>
          <w:lang w:eastAsia="zh-CN"/>
        </w:rPr>
      </w:pPr>
      <w:r>
        <w:rPr>
          <w:rFonts w:hint="eastAsia" w:ascii="宋体" w:hAnsi="宋体" w:eastAsia="宋体"/>
          <w:color w:val="auto"/>
          <w:highlight w:val="none"/>
          <w:lang w:eastAsia="zh-CN"/>
        </w:rPr>
        <w:t>本项目采购人、采购代理机构、投标人、评标委员会的相关行为均受《中华人民共和国政府采购法》《中华人民共和国政府采购法实施条例》及本项目本级和上级政府采购监督管理部门的政府采购有关规定的约束，其权利受到上述法律法规的保护。</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7.遴选文件构成</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7.1遴选文件包括下列内容：</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第一章</w:t>
      </w:r>
      <w:r>
        <w:rPr>
          <w:rFonts w:ascii="宋体" w:hAnsi="宋体" w:eastAsia="宋体"/>
          <w:color w:val="auto"/>
          <w:highlight w:val="none"/>
          <w:lang w:eastAsia="zh-CN"/>
        </w:rPr>
        <w:t xml:space="preserve">  </w:t>
      </w:r>
      <w:r>
        <w:rPr>
          <w:rFonts w:hint="eastAsia" w:ascii="宋体" w:hAnsi="宋体" w:eastAsia="宋体"/>
          <w:color w:val="auto"/>
          <w:highlight w:val="none"/>
          <w:lang w:eastAsia="zh-CN"/>
        </w:rPr>
        <w:t>遴选公告</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第二章</w:t>
      </w:r>
      <w:r>
        <w:rPr>
          <w:rFonts w:ascii="宋体" w:hAnsi="宋体" w:eastAsia="宋体"/>
          <w:color w:val="auto"/>
          <w:highlight w:val="none"/>
          <w:lang w:eastAsia="zh-CN"/>
        </w:rPr>
        <w:t xml:space="preserve">  投标人须知</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第三章</w:t>
      </w:r>
      <w:r>
        <w:rPr>
          <w:rFonts w:ascii="宋体" w:hAnsi="宋体" w:eastAsia="宋体"/>
          <w:color w:val="auto"/>
          <w:highlight w:val="none"/>
          <w:lang w:eastAsia="zh-CN"/>
        </w:rPr>
        <w:t xml:space="preserve">  采购需求</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第四章</w:t>
      </w:r>
      <w:r>
        <w:rPr>
          <w:rFonts w:ascii="宋体" w:hAnsi="宋体" w:eastAsia="宋体"/>
          <w:color w:val="auto"/>
          <w:highlight w:val="none"/>
          <w:lang w:eastAsia="zh-CN"/>
        </w:rPr>
        <w:t xml:space="preserve">  评标</w:t>
      </w:r>
      <w:r>
        <w:rPr>
          <w:rFonts w:hint="eastAsia" w:ascii="宋体" w:hAnsi="宋体" w:eastAsia="宋体"/>
          <w:color w:val="auto"/>
          <w:highlight w:val="none"/>
          <w:lang w:eastAsia="zh-CN"/>
        </w:rPr>
        <w:t>方法</w:t>
      </w:r>
      <w:r>
        <w:rPr>
          <w:rFonts w:ascii="宋体" w:hAnsi="宋体" w:eastAsia="宋体"/>
          <w:color w:val="auto"/>
          <w:highlight w:val="none"/>
          <w:lang w:eastAsia="zh-CN"/>
        </w:rPr>
        <w:t>和标准</w:t>
      </w:r>
    </w:p>
    <w:p>
      <w:pPr>
        <w:adjustRightInd w:val="0"/>
        <w:snapToGrid w:val="0"/>
        <w:spacing w:line="360" w:lineRule="auto"/>
        <w:ind w:firstLine="480" w:firstLineChars="200"/>
        <w:rPr>
          <w:rFonts w:hint="default" w:ascii="宋体" w:hAnsi="宋体" w:eastAsia="宋体"/>
          <w:color w:val="auto"/>
          <w:highlight w:val="none"/>
          <w:lang w:val="en-US" w:eastAsia="zh-CN"/>
        </w:rPr>
      </w:pPr>
      <w:r>
        <w:rPr>
          <w:rFonts w:hint="eastAsia" w:ascii="宋体" w:hAnsi="宋体" w:eastAsia="宋体"/>
          <w:color w:val="auto"/>
          <w:highlight w:val="none"/>
          <w:lang w:eastAsia="zh-CN"/>
        </w:rPr>
        <w:t>第五章</w:t>
      </w:r>
      <w:r>
        <w:rPr>
          <w:rFonts w:ascii="宋体" w:hAnsi="宋体" w:eastAsia="宋体"/>
          <w:color w:val="auto"/>
          <w:highlight w:val="none"/>
          <w:lang w:eastAsia="zh-CN"/>
        </w:rPr>
        <w:t xml:space="preserve">  政府采购合同</w:t>
      </w:r>
      <w:r>
        <w:rPr>
          <w:rFonts w:hint="eastAsia" w:ascii="宋体" w:hAnsi="宋体" w:eastAsia="宋体"/>
          <w:color w:val="auto"/>
          <w:highlight w:val="none"/>
          <w:lang w:val="en-US" w:eastAsia="zh-CN"/>
        </w:rPr>
        <w:t>/协议</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第六章</w:t>
      </w:r>
      <w:r>
        <w:rPr>
          <w:rFonts w:ascii="宋体" w:hAnsi="宋体" w:eastAsia="宋体"/>
          <w:color w:val="auto"/>
          <w:highlight w:val="none"/>
          <w:lang w:eastAsia="zh-CN"/>
        </w:rPr>
        <w:t xml:space="preserve">  投标文件格式</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 xml:space="preserve">7.2 </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中有不一致的，有澄清的部分以最终的澄清更正内容为准。</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7.3 现场考察及相关事项见</w:t>
      </w:r>
      <w:r>
        <w:rPr>
          <w:rFonts w:ascii="宋体" w:hAnsi="宋体" w:eastAsia="宋体"/>
          <w:color w:val="auto"/>
          <w:highlight w:val="none"/>
          <w:u w:val="single"/>
          <w:lang w:eastAsia="zh-CN"/>
        </w:rPr>
        <w:t>投标人须知前附表</w:t>
      </w:r>
      <w:r>
        <w:rPr>
          <w:rFonts w:ascii="宋体" w:hAnsi="宋体" w:eastAsia="宋体"/>
          <w:color w:val="auto"/>
          <w:highlight w:val="none"/>
          <w:lang w:eastAsia="zh-CN"/>
        </w:rPr>
        <w:t xml:space="preserve">。 </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7</w:t>
      </w:r>
      <w:r>
        <w:rPr>
          <w:rFonts w:ascii="宋体" w:hAnsi="宋体" w:eastAsia="宋体"/>
          <w:color w:val="auto"/>
          <w:highlight w:val="none"/>
          <w:lang w:eastAsia="zh-CN"/>
        </w:rPr>
        <w:t>.</w:t>
      </w:r>
      <w:r>
        <w:rPr>
          <w:rFonts w:hint="eastAsia" w:ascii="宋体" w:hAnsi="宋体" w:eastAsia="宋体"/>
          <w:color w:val="auto"/>
          <w:highlight w:val="none"/>
          <w:lang w:eastAsia="zh-CN"/>
        </w:rPr>
        <w:t xml:space="preserve">4 </w:t>
      </w:r>
      <w:r>
        <w:rPr>
          <w:rFonts w:ascii="宋体" w:hAnsi="宋体" w:eastAsia="宋体"/>
          <w:color w:val="auto"/>
          <w:highlight w:val="none"/>
          <w:lang w:eastAsia="zh-CN"/>
        </w:rPr>
        <w:t>投标人应认真阅读</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所有的事项、格式、条款和技术规范等。</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8.遴选文件的澄清与修改</w:t>
      </w:r>
    </w:p>
    <w:p>
      <w:pPr>
        <w:adjustRightInd w:val="0"/>
        <w:snapToGrid w:val="0"/>
        <w:spacing w:line="360" w:lineRule="auto"/>
        <w:ind w:firstLine="480" w:firstLineChars="200"/>
        <w:jc w:val="both"/>
        <w:rPr>
          <w:rFonts w:hint="eastAsia" w:ascii="宋体" w:hAnsi="宋体" w:eastAsia="宋体"/>
          <w:color w:val="auto"/>
          <w:kern w:val="2"/>
          <w:highlight w:val="none"/>
          <w:lang w:eastAsia="zh-CN"/>
        </w:rPr>
      </w:pPr>
      <w:r>
        <w:rPr>
          <w:rFonts w:hint="eastAsia" w:ascii="宋体" w:hAnsi="宋体" w:eastAsia="宋体"/>
          <w:color w:val="auto"/>
          <w:highlight w:val="none"/>
          <w:lang w:eastAsia="zh-CN"/>
        </w:rPr>
        <w:t>8</w:t>
      </w:r>
      <w:r>
        <w:rPr>
          <w:rFonts w:ascii="宋体" w:hAnsi="宋体" w:eastAsia="宋体"/>
          <w:color w:val="auto"/>
          <w:highlight w:val="none"/>
          <w:lang w:eastAsia="zh-CN"/>
        </w:rPr>
        <w:t>.</w:t>
      </w:r>
      <w:r>
        <w:rPr>
          <w:rFonts w:hint="eastAsia" w:ascii="宋体" w:hAnsi="宋体" w:eastAsia="宋体"/>
          <w:color w:val="auto"/>
          <w:highlight w:val="none"/>
          <w:lang w:eastAsia="zh-CN"/>
        </w:rPr>
        <w:t>1</w:t>
      </w:r>
      <w:r>
        <w:rPr>
          <w:rFonts w:ascii="宋体" w:hAnsi="宋体" w:eastAsia="宋体"/>
          <w:color w:val="auto"/>
          <w:highlight w:val="none"/>
          <w:lang w:eastAsia="zh-CN"/>
        </w:rPr>
        <w:t>投标人如对</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内容有疑问，</w:t>
      </w:r>
      <w:r>
        <w:rPr>
          <w:rFonts w:hint="eastAsia" w:ascii="宋体" w:hAnsi="宋体" w:eastAsia="宋体"/>
          <w:color w:val="auto"/>
          <w:highlight w:val="none"/>
          <w:lang w:eastAsia="zh-CN"/>
        </w:rPr>
        <w:t>根据</w:t>
      </w:r>
      <w:r>
        <w:rPr>
          <w:rFonts w:ascii="宋体" w:hAnsi="宋体" w:eastAsia="宋体"/>
          <w:color w:val="auto"/>
          <w:highlight w:val="none"/>
          <w:u w:val="single"/>
          <w:lang w:eastAsia="zh-CN"/>
        </w:rPr>
        <w:t>投标人须知前附表</w:t>
      </w:r>
      <w:r>
        <w:rPr>
          <w:rFonts w:ascii="宋体" w:hAnsi="宋体" w:eastAsia="宋体"/>
          <w:color w:val="auto"/>
          <w:highlight w:val="none"/>
          <w:lang w:eastAsia="zh-CN"/>
        </w:rPr>
        <w:t>规定的截止时间前</w:t>
      </w:r>
      <w:r>
        <w:rPr>
          <w:rFonts w:hint="eastAsia" w:ascii="宋体" w:hAnsi="宋体" w:eastAsia="宋体"/>
          <w:color w:val="auto"/>
          <w:highlight w:val="none"/>
          <w:lang w:eastAsia="zh-CN"/>
        </w:rPr>
        <w:t>以书面</w:t>
      </w:r>
      <w:r>
        <w:rPr>
          <w:rFonts w:ascii="宋体" w:hAnsi="宋体" w:eastAsia="宋体"/>
          <w:color w:val="auto"/>
          <w:highlight w:val="none"/>
          <w:lang w:eastAsia="zh-CN"/>
        </w:rPr>
        <w:t>提交给</w:t>
      </w:r>
      <w:r>
        <w:rPr>
          <w:rFonts w:hint="eastAsia" w:ascii="宋体" w:hAnsi="宋体" w:eastAsia="宋体"/>
          <w:color w:val="auto"/>
          <w:highlight w:val="none"/>
          <w:lang w:eastAsia="zh-CN"/>
        </w:rPr>
        <w:t>采购人或</w:t>
      </w:r>
      <w:r>
        <w:rPr>
          <w:rFonts w:ascii="宋体" w:hAnsi="宋体" w:eastAsia="宋体"/>
          <w:color w:val="auto"/>
          <w:highlight w:val="none"/>
          <w:lang w:eastAsia="zh-CN"/>
        </w:rPr>
        <w:t>采购代理机构</w:t>
      </w:r>
      <w:r>
        <w:rPr>
          <w:rFonts w:hint="eastAsia" w:ascii="宋体" w:hAnsi="宋体" w:eastAsia="宋体"/>
          <w:color w:val="auto"/>
          <w:highlight w:val="none"/>
          <w:lang w:eastAsia="zh-CN"/>
        </w:rPr>
        <w:t>；也可根据遴选公告中的联系方式进行电话询问</w:t>
      </w:r>
      <w:r>
        <w:rPr>
          <w:rFonts w:ascii="宋体" w:hAnsi="宋体" w:eastAsia="宋体"/>
          <w:color w:val="auto"/>
          <w:highlight w:val="none"/>
          <w:lang w:eastAsia="zh-CN"/>
        </w:rPr>
        <w:t>。</w:t>
      </w:r>
      <w:r>
        <w:rPr>
          <w:rFonts w:hint="eastAsia" w:ascii="宋体" w:hAnsi="宋体" w:eastAsia="宋体"/>
          <w:color w:val="auto"/>
          <w:kern w:val="2"/>
          <w:highlight w:val="none"/>
          <w:lang w:eastAsia="zh-CN"/>
        </w:rPr>
        <w:t>采购人或采购代理机构对供应商依法提出的询问，在3个工作日内作出答复，但答复的内容不得涉及商业秘密。</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8</w:t>
      </w:r>
      <w:r>
        <w:rPr>
          <w:rFonts w:ascii="宋体" w:hAnsi="宋体" w:eastAsia="宋体"/>
          <w:color w:val="auto"/>
          <w:highlight w:val="none"/>
          <w:lang w:eastAsia="zh-CN"/>
        </w:rPr>
        <w:t>.</w:t>
      </w:r>
      <w:r>
        <w:rPr>
          <w:rFonts w:hint="eastAsia" w:ascii="宋体" w:hAnsi="宋体" w:eastAsia="宋体"/>
          <w:color w:val="auto"/>
          <w:highlight w:val="none"/>
          <w:lang w:eastAsia="zh-CN"/>
        </w:rPr>
        <w:t>2采购人可主动地或在答复投标人提出的问题时对遴选文件进行澄清与修改。</w:t>
      </w:r>
      <w:r>
        <w:rPr>
          <w:rFonts w:ascii="宋体" w:hAnsi="宋体" w:eastAsia="宋体"/>
          <w:color w:val="auto"/>
          <w:highlight w:val="none"/>
          <w:lang w:eastAsia="zh-CN"/>
        </w:rPr>
        <w:t>采购代理</w:t>
      </w:r>
      <w:r>
        <w:rPr>
          <w:rFonts w:hint="eastAsia" w:ascii="宋体" w:hAnsi="宋体" w:eastAsia="宋体"/>
          <w:color w:val="auto"/>
          <w:highlight w:val="none"/>
          <w:lang w:eastAsia="zh-CN"/>
        </w:rPr>
        <w:t>机构将以发布更正公告的方式</w:t>
      </w:r>
      <w:r>
        <w:rPr>
          <w:rFonts w:ascii="宋体" w:hAnsi="宋体" w:eastAsia="宋体"/>
          <w:color w:val="auto"/>
          <w:highlight w:val="none"/>
          <w:lang w:eastAsia="zh-CN"/>
        </w:rPr>
        <w:t>，</w:t>
      </w:r>
      <w:r>
        <w:rPr>
          <w:rFonts w:hint="eastAsia" w:ascii="宋体" w:hAnsi="宋体" w:eastAsia="宋体"/>
          <w:color w:val="auto"/>
          <w:highlight w:val="none"/>
          <w:lang w:eastAsia="zh-CN"/>
        </w:rPr>
        <w:t>澄清或修改遴选文件，更正公告的</w:t>
      </w:r>
      <w:r>
        <w:rPr>
          <w:rFonts w:ascii="宋体" w:hAnsi="宋体" w:eastAsia="宋体"/>
          <w:color w:val="auto"/>
          <w:highlight w:val="none"/>
          <w:lang w:eastAsia="zh-CN"/>
        </w:rPr>
        <w:t>内容</w:t>
      </w:r>
      <w:r>
        <w:rPr>
          <w:rFonts w:hint="eastAsia" w:ascii="宋体" w:hAnsi="宋体" w:eastAsia="宋体"/>
          <w:color w:val="auto"/>
          <w:highlight w:val="none"/>
          <w:lang w:eastAsia="zh-CN"/>
        </w:rPr>
        <w:t>作</w:t>
      </w:r>
      <w:r>
        <w:rPr>
          <w:rFonts w:ascii="宋体" w:hAnsi="宋体" w:eastAsia="宋体"/>
          <w:color w:val="auto"/>
          <w:highlight w:val="none"/>
          <w:lang w:eastAsia="zh-CN"/>
        </w:rPr>
        <w:t>为</w:t>
      </w:r>
      <w:r>
        <w:rPr>
          <w:rFonts w:hint="eastAsia" w:ascii="宋体" w:hAnsi="宋体" w:eastAsia="宋体"/>
          <w:color w:val="auto"/>
          <w:highlight w:val="none"/>
          <w:lang w:eastAsia="zh-CN"/>
        </w:rPr>
        <w:t>遴选文件的</w:t>
      </w:r>
      <w:r>
        <w:rPr>
          <w:rFonts w:ascii="宋体" w:hAnsi="宋体" w:eastAsia="宋体"/>
          <w:color w:val="auto"/>
          <w:highlight w:val="none"/>
          <w:lang w:eastAsia="zh-CN"/>
        </w:rPr>
        <w:t>组成部分，对投标人起约束作用</w:t>
      </w:r>
      <w:r>
        <w:rPr>
          <w:rFonts w:hint="eastAsia" w:ascii="宋体" w:hAnsi="宋体" w:eastAsia="宋体"/>
          <w:color w:val="auto"/>
          <w:highlight w:val="none"/>
          <w:lang w:eastAsia="zh-CN"/>
        </w:rPr>
        <w:t>。投标人应主动上网查询。采购代理机构不承担投标人未及时关注相关信息引发的相关责任。</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8.3任何人或任何组织向投标人提供的任何书面或口头资料，未经采购代理机构在网上发布或书面通知，均作无效处理，不得作为遴选文件的组成部分。采购代理机构对投标人由此而做出的推论、理解和结论概不负责。</w:t>
      </w:r>
    </w:p>
    <w:p>
      <w:pPr>
        <w:adjustRightInd w:val="0"/>
        <w:snapToGrid w:val="0"/>
        <w:spacing w:line="360" w:lineRule="auto"/>
        <w:ind w:firstLine="480" w:firstLineChars="200"/>
        <w:rPr>
          <w:rFonts w:hint="eastAsia" w:ascii="宋体" w:hAnsi="宋体" w:eastAsia="宋体"/>
          <w:i/>
          <w:iCs/>
          <w:color w:val="auto"/>
          <w:highlight w:val="none"/>
          <w:lang w:eastAsia="zh-CN"/>
        </w:rPr>
      </w:pPr>
      <w:r>
        <w:rPr>
          <w:rFonts w:hint="eastAsia" w:ascii="宋体" w:hAnsi="宋体" w:eastAsia="宋体"/>
          <w:color w:val="auto"/>
          <w:highlight w:val="none"/>
          <w:lang w:eastAsia="zh-CN"/>
        </w:rPr>
        <w:t>8</w:t>
      </w:r>
      <w:r>
        <w:rPr>
          <w:rFonts w:ascii="宋体" w:hAnsi="宋体" w:eastAsia="宋体"/>
          <w:color w:val="auto"/>
          <w:highlight w:val="none"/>
          <w:lang w:eastAsia="zh-CN"/>
        </w:rPr>
        <w:t>.</w:t>
      </w:r>
      <w:r>
        <w:rPr>
          <w:rFonts w:hint="eastAsia" w:ascii="宋体" w:hAnsi="宋体" w:eastAsia="宋体"/>
          <w:color w:val="auto"/>
          <w:highlight w:val="none"/>
          <w:lang w:eastAsia="zh-CN"/>
        </w:rPr>
        <w:t>4</w:t>
      </w:r>
      <w:r>
        <w:rPr>
          <w:rFonts w:ascii="宋体" w:hAnsi="宋体" w:eastAsia="宋体"/>
          <w:color w:val="auto"/>
          <w:highlight w:val="none"/>
          <w:lang w:eastAsia="zh-CN"/>
        </w:rPr>
        <w:t>对于没有提出</w:t>
      </w:r>
      <w:r>
        <w:rPr>
          <w:rFonts w:hint="eastAsia" w:ascii="宋体" w:hAnsi="宋体" w:eastAsia="宋体"/>
          <w:color w:val="auto"/>
          <w:highlight w:val="none"/>
          <w:lang w:eastAsia="zh-CN"/>
        </w:rPr>
        <w:t>疑问</w:t>
      </w:r>
      <w:r>
        <w:rPr>
          <w:rFonts w:ascii="宋体" w:hAnsi="宋体" w:eastAsia="宋体"/>
          <w:color w:val="auto"/>
          <w:highlight w:val="none"/>
          <w:lang w:eastAsia="zh-CN"/>
        </w:rPr>
        <w:t>又参与了</w:t>
      </w:r>
      <w:r>
        <w:rPr>
          <w:rFonts w:hint="eastAsia" w:ascii="宋体" w:hAnsi="宋体" w:eastAsia="宋体"/>
          <w:color w:val="auto"/>
          <w:highlight w:val="none"/>
          <w:lang w:eastAsia="zh-CN"/>
        </w:rPr>
        <w:t>本</w:t>
      </w:r>
      <w:r>
        <w:rPr>
          <w:rFonts w:ascii="宋体" w:hAnsi="宋体" w:eastAsia="宋体"/>
          <w:color w:val="auto"/>
          <w:highlight w:val="none"/>
          <w:lang w:eastAsia="zh-CN"/>
        </w:rPr>
        <w:t>项目投标的</w:t>
      </w:r>
      <w:r>
        <w:rPr>
          <w:rFonts w:hint="eastAsia" w:ascii="宋体" w:hAnsi="宋体" w:eastAsia="宋体"/>
          <w:color w:val="auto"/>
          <w:highlight w:val="none"/>
          <w:lang w:eastAsia="zh-CN"/>
        </w:rPr>
        <w:t>投标人</w:t>
      </w:r>
      <w:r>
        <w:rPr>
          <w:rFonts w:ascii="宋体" w:hAnsi="宋体" w:eastAsia="宋体"/>
          <w:color w:val="auto"/>
          <w:highlight w:val="none"/>
          <w:lang w:eastAsia="zh-CN"/>
        </w:rPr>
        <w:t>将被视为完全认同</w:t>
      </w:r>
      <w:r>
        <w:rPr>
          <w:rFonts w:hint="eastAsia" w:ascii="宋体" w:hAnsi="宋体" w:eastAsia="宋体"/>
          <w:color w:val="auto"/>
          <w:highlight w:val="none"/>
          <w:lang w:eastAsia="zh-CN"/>
        </w:rPr>
        <w:t>本遴选文件</w:t>
      </w:r>
      <w:r>
        <w:rPr>
          <w:rFonts w:ascii="宋体" w:hAnsi="宋体" w:eastAsia="宋体"/>
          <w:color w:val="auto"/>
          <w:highlight w:val="none"/>
          <w:lang w:eastAsia="zh-CN"/>
        </w:rPr>
        <w:t>（含</w:t>
      </w:r>
      <w:r>
        <w:rPr>
          <w:rFonts w:hint="eastAsia" w:ascii="宋体" w:hAnsi="宋体" w:eastAsia="宋体"/>
          <w:color w:val="auto"/>
          <w:highlight w:val="none"/>
          <w:lang w:eastAsia="zh-CN"/>
        </w:rPr>
        <w:t>更正公告的</w:t>
      </w:r>
      <w:r>
        <w:rPr>
          <w:rFonts w:ascii="宋体" w:hAnsi="宋体" w:eastAsia="宋体"/>
          <w:color w:val="auto"/>
          <w:highlight w:val="none"/>
          <w:lang w:eastAsia="zh-CN"/>
        </w:rPr>
        <w:t>内容）</w:t>
      </w:r>
      <w:r>
        <w:rPr>
          <w:rFonts w:hint="eastAsia" w:ascii="宋体" w:hAnsi="宋体" w:eastAsia="宋体"/>
          <w:i/>
          <w:color w:val="auto"/>
          <w:highlight w:val="none"/>
          <w:lang w:eastAsia="zh-CN"/>
        </w:rPr>
        <w:t>。</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9.投标范围及投标文件中标准和计量单位的使用</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9</w:t>
      </w:r>
      <w:r>
        <w:rPr>
          <w:rFonts w:ascii="宋体" w:hAnsi="宋体" w:eastAsia="宋体"/>
          <w:color w:val="auto"/>
          <w:highlight w:val="none"/>
          <w:lang w:eastAsia="zh-CN"/>
        </w:rPr>
        <w:t>.1项目有分包的，投标人可对</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其中某一个或几个分包进行投标，除非在</w:t>
      </w:r>
      <w:r>
        <w:rPr>
          <w:rFonts w:ascii="宋体" w:hAnsi="宋体" w:eastAsia="宋体"/>
          <w:color w:val="auto"/>
          <w:highlight w:val="none"/>
          <w:u w:val="single"/>
          <w:lang w:eastAsia="zh-CN"/>
        </w:rPr>
        <w:t>投标人须知前附表</w:t>
      </w:r>
      <w:r>
        <w:rPr>
          <w:rFonts w:ascii="宋体" w:hAnsi="宋体" w:eastAsia="宋体"/>
          <w:color w:val="auto"/>
          <w:highlight w:val="none"/>
          <w:lang w:eastAsia="zh-CN"/>
        </w:rPr>
        <w:t>中另有规定。</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9</w:t>
      </w:r>
      <w:r>
        <w:rPr>
          <w:rFonts w:ascii="宋体" w:hAnsi="宋体" w:eastAsia="宋体"/>
          <w:color w:val="auto"/>
          <w:highlight w:val="none"/>
          <w:lang w:eastAsia="zh-CN"/>
        </w:rPr>
        <w:t>.2投标人应当对所投分包</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中“</w:t>
      </w:r>
      <w:r>
        <w:rPr>
          <w:rFonts w:hint="eastAsia" w:ascii="宋体" w:hAnsi="宋体" w:eastAsia="宋体"/>
          <w:color w:val="auto"/>
          <w:highlight w:val="none"/>
          <w:lang w:eastAsia="zh-CN"/>
        </w:rPr>
        <w:t>采购</w:t>
      </w:r>
      <w:r>
        <w:rPr>
          <w:rFonts w:ascii="宋体" w:hAnsi="宋体" w:eastAsia="宋体"/>
          <w:color w:val="auto"/>
          <w:highlight w:val="none"/>
          <w:lang w:eastAsia="zh-CN"/>
        </w:rPr>
        <w:t>需求”所列的所有内容进行投标，如仅响应</w:t>
      </w:r>
      <w:r>
        <w:rPr>
          <w:rFonts w:hint="eastAsia" w:ascii="宋体" w:hAnsi="宋体" w:eastAsia="宋体"/>
          <w:color w:val="auto"/>
          <w:highlight w:val="none"/>
          <w:lang w:eastAsia="zh-CN"/>
        </w:rPr>
        <w:t>所投包别</w:t>
      </w:r>
      <w:r>
        <w:rPr>
          <w:rFonts w:ascii="宋体" w:hAnsi="宋体" w:eastAsia="宋体"/>
          <w:color w:val="auto"/>
          <w:highlight w:val="none"/>
          <w:lang w:eastAsia="zh-CN"/>
        </w:rPr>
        <w:t>中的部分内容，其</w:t>
      </w:r>
      <w:r>
        <w:rPr>
          <w:rFonts w:hint="eastAsia" w:ascii="宋体" w:hAnsi="宋体" w:eastAsia="宋体"/>
          <w:color w:val="auto"/>
          <w:highlight w:val="none"/>
          <w:lang w:eastAsia="zh-CN"/>
        </w:rPr>
        <w:t>所投包别的</w:t>
      </w:r>
      <w:r>
        <w:rPr>
          <w:rFonts w:ascii="宋体" w:hAnsi="宋体" w:eastAsia="宋体"/>
          <w:color w:val="auto"/>
          <w:highlight w:val="none"/>
          <w:lang w:eastAsia="zh-CN"/>
        </w:rPr>
        <w:t>投标将被认定为</w:t>
      </w:r>
      <w:r>
        <w:rPr>
          <w:rFonts w:ascii="宋体" w:hAnsi="宋体" w:eastAsia="宋体"/>
          <w:b/>
          <w:color w:val="auto"/>
          <w:highlight w:val="none"/>
          <w:lang w:eastAsia="zh-CN"/>
        </w:rPr>
        <w:t>投标无效</w:t>
      </w:r>
      <w:r>
        <w:rPr>
          <w:rFonts w:ascii="宋体" w:hAnsi="宋体" w:eastAsia="宋体"/>
          <w:color w:val="auto"/>
          <w:highlight w:val="none"/>
          <w:lang w:eastAsia="zh-CN"/>
        </w:rPr>
        <w:t>。</w:t>
      </w:r>
    </w:p>
    <w:p>
      <w:pPr>
        <w:adjustRightInd w:val="0"/>
        <w:snapToGrid w:val="0"/>
        <w:spacing w:line="360" w:lineRule="auto"/>
        <w:ind w:firstLine="480" w:firstLineChars="200"/>
        <w:rPr>
          <w:rFonts w:hint="eastAsia" w:ascii="宋体" w:hAnsi="宋体" w:eastAsia="宋体"/>
          <w:color w:val="auto"/>
          <w:highlight w:val="none"/>
          <w:lang w:eastAsia="zh-CN"/>
        </w:rPr>
      </w:pPr>
      <w:bookmarkStart w:id="7" w:name="_Hlk16458980"/>
      <w:r>
        <w:rPr>
          <w:rFonts w:hint="eastAsia" w:ascii="宋体" w:hAnsi="宋体" w:eastAsia="宋体"/>
          <w:color w:val="auto"/>
          <w:highlight w:val="none"/>
          <w:lang w:eastAsia="zh-CN"/>
        </w:rPr>
        <w:t>9</w:t>
      </w:r>
      <w:r>
        <w:rPr>
          <w:rFonts w:ascii="宋体" w:hAnsi="宋体" w:eastAsia="宋体"/>
          <w:color w:val="auto"/>
          <w:highlight w:val="none"/>
          <w:lang w:eastAsia="zh-CN"/>
        </w:rPr>
        <w:t>.3无论</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中是否要求，</w:t>
      </w:r>
      <w:r>
        <w:rPr>
          <w:rFonts w:hint="eastAsia" w:ascii="宋体" w:hAnsi="宋体" w:eastAsia="宋体"/>
          <w:color w:val="auto"/>
          <w:highlight w:val="none"/>
          <w:lang w:eastAsia="zh-CN"/>
        </w:rPr>
        <w:t>投标人所投服务及伴随的货物和工程均应符合国家强制性标准。</w:t>
      </w:r>
      <w:bookmarkEnd w:id="7"/>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9</w:t>
      </w:r>
      <w:r>
        <w:rPr>
          <w:rFonts w:ascii="宋体" w:hAnsi="宋体" w:eastAsia="宋体"/>
          <w:color w:val="auto"/>
          <w:highlight w:val="none"/>
          <w:lang w:eastAsia="zh-CN"/>
        </w:rPr>
        <w:t>.</w:t>
      </w:r>
      <w:r>
        <w:rPr>
          <w:rFonts w:hint="eastAsia" w:ascii="宋体" w:hAnsi="宋体" w:eastAsia="宋体"/>
          <w:color w:val="auto"/>
          <w:highlight w:val="none"/>
          <w:lang w:eastAsia="zh-CN"/>
        </w:rPr>
        <w:t>4</w:t>
      </w:r>
      <w:r>
        <w:rPr>
          <w:rFonts w:ascii="宋体" w:hAnsi="宋体" w:eastAsia="宋体"/>
          <w:color w:val="auto"/>
          <w:highlight w:val="none"/>
          <w:lang w:eastAsia="zh-CN"/>
        </w:rPr>
        <w:t>投标人与采购</w:t>
      </w:r>
      <w:r>
        <w:rPr>
          <w:rFonts w:hint="eastAsia" w:ascii="宋体" w:hAnsi="宋体" w:eastAsia="宋体"/>
          <w:color w:val="auto"/>
          <w:highlight w:val="none"/>
          <w:lang w:eastAsia="zh-CN"/>
        </w:rPr>
        <w:t>代理</w:t>
      </w:r>
      <w:r>
        <w:rPr>
          <w:rFonts w:ascii="宋体" w:hAnsi="宋体" w:eastAsia="宋体"/>
          <w:color w:val="auto"/>
          <w:highlight w:val="none"/>
          <w:lang w:eastAsia="zh-CN"/>
        </w:rPr>
        <w:t>机构之间与投标有关的所有往来通知、函件和投标文件均用中文表述。投标人随投标文件提供的证明文件和资料可以为其它语言，但必须附中文译文。翻译的中文资料与外文资料出现差异时，以中文为准。</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9</w:t>
      </w:r>
      <w:r>
        <w:rPr>
          <w:rFonts w:ascii="宋体" w:hAnsi="宋体" w:eastAsia="宋体"/>
          <w:color w:val="auto"/>
          <w:highlight w:val="none"/>
          <w:lang w:eastAsia="zh-CN"/>
        </w:rPr>
        <w:t>.</w:t>
      </w:r>
      <w:r>
        <w:rPr>
          <w:rFonts w:hint="eastAsia" w:ascii="宋体" w:hAnsi="宋体" w:eastAsia="宋体"/>
          <w:color w:val="auto"/>
          <w:highlight w:val="none"/>
          <w:lang w:eastAsia="zh-CN"/>
        </w:rPr>
        <w:t>5</w:t>
      </w:r>
      <w:r>
        <w:rPr>
          <w:rFonts w:ascii="宋体" w:hAnsi="宋体" w:eastAsia="宋体"/>
          <w:color w:val="auto"/>
          <w:highlight w:val="none"/>
          <w:lang w:eastAsia="zh-CN"/>
        </w:rPr>
        <w:t>除</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中有特殊要求外，投标文件中所使用的计量单位，应采用中华人民共和国法定计量单位。</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10</w:t>
      </w:r>
      <w:r>
        <w:rPr>
          <w:rFonts w:ascii="宋体" w:hAnsi="宋体" w:eastAsia="宋体"/>
          <w:b/>
          <w:color w:val="auto"/>
          <w:highlight w:val="none"/>
          <w:lang w:eastAsia="zh-CN"/>
        </w:rPr>
        <w:t>.</w:t>
      </w:r>
      <w:r>
        <w:rPr>
          <w:rFonts w:hint="eastAsia" w:ascii="宋体" w:hAnsi="宋体" w:eastAsia="宋体"/>
          <w:b/>
          <w:color w:val="auto"/>
          <w:highlight w:val="none"/>
          <w:lang w:eastAsia="zh-CN"/>
        </w:rPr>
        <w:t>投标文件构成</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10</w:t>
      </w:r>
      <w:r>
        <w:rPr>
          <w:rFonts w:ascii="宋体" w:hAnsi="宋体" w:eastAsia="宋体"/>
          <w:color w:val="auto"/>
          <w:highlight w:val="none"/>
          <w:lang w:eastAsia="zh-CN"/>
        </w:rPr>
        <w:t>.1投标人应完整地按</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提供的投标文件格式及要求</w:t>
      </w:r>
      <w:r>
        <w:rPr>
          <w:rFonts w:hint="eastAsia" w:ascii="宋体" w:hAnsi="宋体" w:eastAsia="宋体"/>
          <w:color w:val="auto"/>
          <w:highlight w:val="none"/>
          <w:lang w:eastAsia="zh-CN"/>
        </w:rPr>
        <w:t>编</w:t>
      </w:r>
      <w:r>
        <w:rPr>
          <w:rFonts w:ascii="宋体" w:hAnsi="宋体" w:eastAsia="宋体"/>
          <w:color w:val="auto"/>
          <w:highlight w:val="none"/>
          <w:lang w:eastAsia="zh-CN"/>
        </w:rPr>
        <w:t>写投标文件，</w:t>
      </w:r>
      <w:r>
        <w:rPr>
          <w:rFonts w:hint="eastAsia" w:ascii="宋体" w:hAnsi="宋体" w:eastAsia="宋体"/>
          <w:color w:val="auto"/>
          <w:highlight w:val="none"/>
          <w:lang w:eastAsia="zh-CN"/>
        </w:rPr>
        <w:t>具体内容详见本项目</w:t>
      </w:r>
      <w:r>
        <w:rPr>
          <w:rFonts w:ascii="宋体" w:hAnsi="宋体" w:eastAsia="宋体"/>
          <w:color w:val="auto"/>
          <w:highlight w:val="none"/>
          <w:lang w:eastAsia="zh-CN"/>
        </w:rPr>
        <w:t>第六章</w:t>
      </w:r>
      <w:r>
        <w:rPr>
          <w:rFonts w:hint="eastAsia" w:ascii="宋体" w:hAnsi="宋体" w:eastAsia="宋体"/>
          <w:color w:val="auto"/>
          <w:highlight w:val="none"/>
          <w:lang w:eastAsia="zh-CN"/>
        </w:rPr>
        <w:t>投标文件格式的相关内容。</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10.2上述文件应按照</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规定的格式填写、签署和盖章。</w:t>
      </w:r>
    </w:p>
    <w:p>
      <w:pPr>
        <w:adjustRightInd w:val="0"/>
        <w:snapToGrid w:val="0"/>
        <w:spacing w:line="360" w:lineRule="auto"/>
        <w:ind w:firstLine="482" w:firstLineChars="200"/>
        <w:rPr>
          <w:rFonts w:hint="eastAsia" w:ascii="宋体" w:hAnsi="宋体" w:eastAsia="宋体"/>
          <w:b/>
          <w:bCs/>
          <w:color w:val="auto"/>
          <w:highlight w:val="none"/>
          <w:lang w:eastAsia="zh-CN"/>
        </w:rPr>
      </w:pPr>
      <w:r>
        <w:rPr>
          <w:rFonts w:ascii="宋体" w:hAnsi="宋体" w:eastAsia="宋体"/>
          <w:b/>
          <w:bCs/>
          <w:color w:val="auto"/>
          <w:highlight w:val="none"/>
          <w:lang w:eastAsia="zh-CN"/>
        </w:rPr>
        <w:t>11.证明投标标的的合格性和符合</w:t>
      </w:r>
      <w:r>
        <w:rPr>
          <w:rFonts w:hint="eastAsia" w:ascii="宋体" w:hAnsi="宋体" w:eastAsia="宋体"/>
          <w:b/>
          <w:bCs/>
          <w:color w:val="auto"/>
          <w:highlight w:val="none"/>
          <w:lang w:eastAsia="zh-CN"/>
        </w:rPr>
        <w:t>遴选文件</w:t>
      </w:r>
      <w:r>
        <w:rPr>
          <w:rFonts w:ascii="宋体" w:hAnsi="宋体" w:eastAsia="宋体"/>
          <w:b/>
          <w:bCs/>
          <w:color w:val="auto"/>
          <w:highlight w:val="none"/>
          <w:lang w:eastAsia="zh-CN"/>
        </w:rPr>
        <w:t>规定的技术文件</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11.1 投标人应提交</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要求的证明文件，证明其投标内容符合</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 xml:space="preserve">规定。该证明文件是投标文件的一部分。 </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11.2 上款所述的证明文件，可以是文字资料、图纸和数据</w:t>
      </w:r>
      <w:r>
        <w:rPr>
          <w:rFonts w:hint="eastAsia" w:ascii="宋体" w:hAnsi="宋体" w:eastAsia="宋体"/>
          <w:color w:val="auto"/>
          <w:highlight w:val="none"/>
          <w:lang w:eastAsia="zh-CN"/>
        </w:rPr>
        <w:t>。</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11.3 本条所指证明文件不包括对</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相关部分的文字、图标的复制。</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11.4 为保证公平公正，除非另有规定或说明，投标人对同一项目投标时，不得同时提供备选投标方案。</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12</w:t>
      </w:r>
      <w:r>
        <w:rPr>
          <w:rFonts w:ascii="宋体" w:hAnsi="宋体" w:eastAsia="宋体"/>
          <w:b/>
          <w:color w:val="auto"/>
          <w:highlight w:val="none"/>
          <w:lang w:eastAsia="zh-CN"/>
        </w:rPr>
        <w:t>.</w:t>
      </w:r>
      <w:r>
        <w:rPr>
          <w:rFonts w:hint="eastAsia" w:ascii="宋体" w:hAnsi="宋体" w:eastAsia="宋体"/>
          <w:b/>
          <w:color w:val="auto"/>
          <w:highlight w:val="none"/>
          <w:lang w:eastAsia="zh-CN"/>
        </w:rPr>
        <w:t>投标报价（</w:t>
      </w:r>
      <w:r>
        <w:rPr>
          <w:rFonts w:hint="eastAsia" w:ascii="宋体" w:hAnsi="宋体" w:eastAsia="宋体"/>
          <w:b/>
          <w:color w:val="auto"/>
          <w:highlight w:val="none"/>
          <w:lang w:val="en-US" w:eastAsia="zh-CN"/>
        </w:rPr>
        <w:t>本项目无报价</w:t>
      </w:r>
      <w:r>
        <w:rPr>
          <w:rFonts w:hint="eastAsia" w:ascii="宋体" w:hAnsi="宋体" w:eastAsia="宋体"/>
          <w:b/>
          <w:color w:val="auto"/>
          <w:highlight w:val="none"/>
          <w:lang w:eastAsia="zh-CN"/>
        </w:rPr>
        <w:t>）</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12</w:t>
      </w:r>
      <w:r>
        <w:rPr>
          <w:rFonts w:ascii="宋体" w:hAnsi="宋体" w:eastAsia="宋体"/>
          <w:color w:val="auto"/>
          <w:highlight w:val="none"/>
          <w:lang w:eastAsia="zh-CN"/>
        </w:rPr>
        <w:t>.1投标人的报价应当包括满足本次</w:t>
      </w:r>
      <w:r>
        <w:rPr>
          <w:rFonts w:hint="eastAsia" w:ascii="宋体" w:hAnsi="宋体" w:eastAsia="宋体"/>
          <w:color w:val="auto"/>
          <w:highlight w:val="none"/>
          <w:lang w:eastAsia="zh-CN"/>
        </w:rPr>
        <w:t>遴选</w:t>
      </w:r>
      <w:r>
        <w:rPr>
          <w:rFonts w:ascii="宋体" w:hAnsi="宋体" w:eastAsia="宋体"/>
          <w:color w:val="auto"/>
          <w:highlight w:val="none"/>
          <w:lang w:eastAsia="zh-CN"/>
        </w:rPr>
        <w:t>全部采购需求</w:t>
      </w:r>
      <w:r>
        <w:rPr>
          <w:rFonts w:hint="eastAsia" w:ascii="宋体" w:hAnsi="宋体" w:eastAsia="宋体"/>
          <w:color w:val="auto"/>
          <w:highlight w:val="none"/>
          <w:lang w:eastAsia="zh-CN"/>
        </w:rPr>
        <w:t>。除遴选文件另有规定外，所有投标均应以人民币报价。投标人的投标报价应遵守《中华人民共和国价格法》。</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12</w:t>
      </w:r>
      <w:r>
        <w:rPr>
          <w:rFonts w:ascii="宋体" w:hAnsi="宋体" w:eastAsia="宋体"/>
          <w:color w:val="auto"/>
          <w:highlight w:val="none"/>
          <w:lang w:eastAsia="zh-CN"/>
        </w:rPr>
        <w:t>.2投标人报价超过</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规定的预算金额或者分项、分包最高限价，其投标将被认定为</w:t>
      </w:r>
      <w:r>
        <w:rPr>
          <w:rFonts w:ascii="宋体" w:hAnsi="宋体" w:eastAsia="宋体"/>
          <w:b/>
          <w:bCs/>
          <w:color w:val="auto"/>
          <w:highlight w:val="none"/>
          <w:lang w:eastAsia="zh-CN"/>
        </w:rPr>
        <w:t>投标无效</w:t>
      </w:r>
      <w:r>
        <w:rPr>
          <w:rFonts w:ascii="宋体" w:hAnsi="宋体" w:eastAsia="宋体"/>
          <w:color w:val="auto"/>
          <w:highlight w:val="none"/>
          <w:lang w:eastAsia="zh-CN"/>
        </w:rPr>
        <w:t>。</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12.3 投标人应在投标分项报价表上标明分项服务、伴随的货物和工程的单价（如适用）和总价，未标明的视同包含在投标报价中。</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12.4投标报价在合同履行过程中是固定不变的，</w:t>
      </w:r>
      <w:r>
        <w:rPr>
          <w:rFonts w:ascii="宋体" w:hAnsi="宋体" w:eastAsia="宋体"/>
          <w:color w:val="auto"/>
          <w:highlight w:val="none"/>
          <w:lang w:eastAsia="zh-CN"/>
        </w:rPr>
        <w:t>不得以任何理由予以变更。任何包含价格调整要求的投标，其投标将被认定为</w:t>
      </w:r>
      <w:r>
        <w:rPr>
          <w:rFonts w:ascii="宋体" w:hAnsi="宋体" w:eastAsia="宋体"/>
          <w:b/>
          <w:color w:val="auto"/>
          <w:highlight w:val="none"/>
          <w:lang w:eastAsia="zh-CN"/>
        </w:rPr>
        <w:t>投标无效</w:t>
      </w:r>
      <w:r>
        <w:rPr>
          <w:rFonts w:ascii="宋体" w:hAnsi="宋体" w:eastAsia="宋体"/>
          <w:color w:val="auto"/>
          <w:highlight w:val="none"/>
          <w:lang w:eastAsia="zh-CN"/>
        </w:rPr>
        <w:t>。</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12.5采购人不接受具有</w:t>
      </w:r>
      <w:r>
        <w:rPr>
          <w:rFonts w:ascii="宋体" w:hAnsi="宋体" w:eastAsia="宋体"/>
          <w:color w:val="auto"/>
          <w:highlight w:val="none"/>
          <w:lang w:eastAsia="zh-CN"/>
        </w:rPr>
        <w:t>附加条件的报价。</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13</w:t>
      </w:r>
      <w:r>
        <w:rPr>
          <w:rFonts w:ascii="宋体" w:hAnsi="宋体" w:eastAsia="宋体"/>
          <w:b/>
          <w:color w:val="auto"/>
          <w:highlight w:val="none"/>
          <w:lang w:eastAsia="zh-CN"/>
        </w:rPr>
        <w:t>.</w:t>
      </w:r>
      <w:r>
        <w:rPr>
          <w:rFonts w:hint="eastAsia" w:ascii="宋体" w:hAnsi="宋体" w:eastAsia="宋体"/>
          <w:b/>
          <w:color w:val="auto"/>
          <w:highlight w:val="none"/>
          <w:lang w:eastAsia="zh-CN"/>
        </w:rPr>
        <w:t>投标保证金</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13.1本项目不收取投标保证金。</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14</w:t>
      </w:r>
      <w:r>
        <w:rPr>
          <w:rFonts w:ascii="宋体" w:hAnsi="宋体" w:eastAsia="宋体"/>
          <w:b/>
          <w:color w:val="auto"/>
          <w:highlight w:val="none"/>
          <w:lang w:eastAsia="zh-CN"/>
        </w:rPr>
        <w:t>.</w:t>
      </w:r>
      <w:r>
        <w:rPr>
          <w:rFonts w:hint="eastAsia" w:ascii="宋体" w:hAnsi="宋体" w:eastAsia="宋体"/>
          <w:b/>
          <w:color w:val="auto"/>
          <w:highlight w:val="none"/>
          <w:lang w:eastAsia="zh-CN"/>
        </w:rPr>
        <w:t>投标有效期</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14.1投标有效期为从投标截止之日算起的日历天数，投标有效期详见</w:t>
      </w:r>
      <w:r>
        <w:rPr>
          <w:rFonts w:hint="eastAsia" w:ascii="宋体" w:hAnsi="宋体" w:eastAsia="宋体"/>
          <w:color w:val="auto"/>
          <w:highlight w:val="none"/>
          <w:u w:val="single"/>
          <w:lang w:eastAsia="zh-CN"/>
        </w:rPr>
        <w:t>投标人须知前附表</w:t>
      </w:r>
      <w:r>
        <w:rPr>
          <w:rFonts w:hint="eastAsia" w:ascii="宋体" w:hAnsi="宋体" w:eastAsia="宋体"/>
          <w:color w:val="auto"/>
          <w:highlight w:val="none"/>
          <w:lang w:eastAsia="zh-CN"/>
        </w:rPr>
        <w:t>。</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14.2在投标有效期内，投标人的投标保持有效，投标人不得要求撤销或修改其投标文件。投标有效期不满足要求的投标，其投标将被认定为</w:t>
      </w:r>
      <w:r>
        <w:rPr>
          <w:rFonts w:hint="eastAsia" w:ascii="宋体" w:hAnsi="宋体" w:eastAsia="宋体"/>
          <w:b/>
          <w:color w:val="auto"/>
          <w:highlight w:val="none"/>
          <w:lang w:eastAsia="zh-CN"/>
        </w:rPr>
        <w:t>投标无效</w:t>
      </w:r>
      <w:r>
        <w:rPr>
          <w:rFonts w:hint="eastAsia" w:ascii="宋体" w:hAnsi="宋体" w:eastAsia="宋体"/>
          <w:color w:val="auto"/>
          <w:highlight w:val="none"/>
          <w:lang w:eastAsia="zh-CN"/>
        </w:rPr>
        <w:t>。</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1</w:t>
      </w:r>
      <w:r>
        <w:rPr>
          <w:rFonts w:hint="eastAsia" w:ascii="宋体" w:hAnsi="宋体" w:eastAsia="宋体"/>
          <w:color w:val="auto"/>
          <w:highlight w:val="none"/>
          <w:lang w:eastAsia="zh-CN"/>
        </w:rPr>
        <w:t>4</w:t>
      </w:r>
      <w:r>
        <w:rPr>
          <w:rFonts w:ascii="宋体" w:hAnsi="宋体" w:eastAsia="宋体"/>
          <w:color w:val="auto"/>
          <w:highlight w:val="none"/>
          <w:lang w:eastAsia="zh-CN"/>
        </w:rPr>
        <w:t>.3</w:t>
      </w:r>
      <w:r>
        <w:rPr>
          <w:rFonts w:hint="eastAsia" w:ascii="宋体" w:hAnsi="宋体" w:eastAsia="宋体"/>
          <w:color w:val="auto"/>
          <w:highlight w:val="none"/>
          <w:lang w:eastAsia="zh-CN"/>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pPr>
        <w:adjustRightInd w:val="0"/>
        <w:snapToGrid w:val="0"/>
        <w:spacing w:line="360" w:lineRule="auto"/>
        <w:ind w:firstLine="482" w:firstLineChars="200"/>
        <w:rPr>
          <w:rFonts w:hint="eastAsia" w:ascii="宋体" w:hAnsi="宋体" w:eastAsia="宋体"/>
          <w:b/>
          <w:bCs/>
          <w:color w:val="auto"/>
          <w:highlight w:val="none"/>
          <w:lang w:eastAsia="zh-CN"/>
        </w:rPr>
      </w:pPr>
      <w:r>
        <w:rPr>
          <w:rFonts w:ascii="宋体" w:hAnsi="宋体" w:eastAsia="宋体"/>
          <w:b/>
          <w:bCs/>
          <w:color w:val="auto"/>
          <w:highlight w:val="none"/>
          <w:lang w:eastAsia="zh-CN"/>
        </w:rPr>
        <w:t xml:space="preserve">15.投标文件的制作 </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1</w:t>
      </w:r>
      <w:r>
        <w:rPr>
          <w:rFonts w:hint="eastAsia" w:ascii="宋体" w:hAnsi="宋体" w:eastAsia="宋体"/>
          <w:color w:val="auto"/>
          <w:highlight w:val="none"/>
          <w:lang w:eastAsia="zh-CN"/>
        </w:rPr>
        <w:t>5</w:t>
      </w:r>
      <w:r>
        <w:rPr>
          <w:rFonts w:ascii="宋体" w:hAnsi="宋体" w:eastAsia="宋体"/>
          <w:color w:val="auto"/>
          <w:highlight w:val="none"/>
          <w:lang w:eastAsia="zh-CN"/>
        </w:rPr>
        <w:t>.1</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要求加盖公章的，投标人必须加盖公章。在有授权文件（原件）表明投标专用章法律效力等同于投标人公章的情况下，可以加盖投标专用章，否则将导致投标无效。</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1</w:t>
      </w:r>
      <w:r>
        <w:rPr>
          <w:rFonts w:hint="eastAsia" w:ascii="宋体" w:hAnsi="宋体" w:eastAsia="宋体"/>
          <w:color w:val="auto"/>
          <w:highlight w:val="none"/>
          <w:lang w:eastAsia="zh-CN"/>
        </w:rPr>
        <w:t>5</w:t>
      </w:r>
      <w:r>
        <w:rPr>
          <w:rFonts w:ascii="宋体" w:hAnsi="宋体" w:eastAsia="宋体"/>
          <w:color w:val="auto"/>
          <w:highlight w:val="none"/>
          <w:lang w:eastAsia="zh-CN"/>
        </w:rPr>
        <w:t>.2</w:t>
      </w:r>
      <w:r>
        <w:rPr>
          <w:rFonts w:ascii="宋体" w:hAnsi="宋体" w:eastAsia="宋体"/>
          <w:b/>
          <w:bCs/>
          <w:color w:val="auto"/>
          <w:highlight w:val="none"/>
          <w:lang w:eastAsia="zh-CN"/>
        </w:rPr>
        <w:t>投标人应准备</w:t>
      </w:r>
      <w:r>
        <w:rPr>
          <w:rFonts w:ascii="宋体" w:hAnsi="宋体" w:eastAsia="宋体"/>
          <w:b/>
          <w:bCs/>
          <w:color w:val="auto"/>
          <w:highlight w:val="none"/>
          <w:u w:val="single"/>
          <w:lang w:eastAsia="zh-CN"/>
        </w:rPr>
        <w:t xml:space="preserve"> 壹 </w:t>
      </w:r>
      <w:r>
        <w:rPr>
          <w:rFonts w:ascii="宋体" w:hAnsi="宋体" w:eastAsia="宋体"/>
          <w:b/>
          <w:bCs/>
          <w:color w:val="auto"/>
          <w:highlight w:val="none"/>
          <w:lang w:eastAsia="zh-CN"/>
        </w:rPr>
        <w:t>份正本、</w:t>
      </w:r>
      <w:r>
        <w:rPr>
          <w:rFonts w:ascii="宋体" w:hAnsi="宋体" w:eastAsia="宋体"/>
          <w:b/>
          <w:bCs/>
          <w:color w:val="auto"/>
          <w:highlight w:val="none"/>
          <w:u w:val="single"/>
          <w:lang w:eastAsia="zh-CN"/>
        </w:rPr>
        <w:t xml:space="preserve"> 贰 </w:t>
      </w:r>
      <w:r>
        <w:rPr>
          <w:rFonts w:ascii="宋体" w:hAnsi="宋体" w:eastAsia="宋体"/>
          <w:b/>
          <w:bCs/>
          <w:color w:val="auto"/>
          <w:highlight w:val="none"/>
          <w:lang w:eastAsia="zh-CN"/>
        </w:rPr>
        <w:t>份副本投标文件</w:t>
      </w:r>
      <w:r>
        <w:rPr>
          <w:rFonts w:hint="eastAsia" w:ascii="宋体" w:hAnsi="宋体" w:eastAsia="宋体"/>
          <w:b/>
          <w:bCs/>
          <w:color w:val="auto"/>
          <w:highlight w:val="none"/>
          <w:lang w:eastAsia="zh-CN"/>
        </w:rPr>
        <w:t>和</w:t>
      </w:r>
      <w:r>
        <w:rPr>
          <w:rFonts w:hint="eastAsia" w:ascii="宋体" w:hAnsi="宋体"/>
          <w:b/>
          <w:bCs/>
          <w:color w:val="auto"/>
          <w:highlight w:val="none"/>
          <w:u w:val="single"/>
          <w:lang w:eastAsia="zh-CN"/>
        </w:rPr>
        <w:t xml:space="preserve"> </w:t>
      </w:r>
      <w:r>
        <w:rPr>
          <w:rFonts w:hint="eastAsia" w:ascii="宋体" w:hAnsi="宋体" w:eastAsia="宋体"/>
          <w:b/>
          <w:bCs/>
          <w:color w:val="auto"/>
          <w:highlight w:val="none"/>
          <w:u w:val="single"/>
          <w:lang w:eastAsia="zh-CN"/>
        </w:rPr>
        <w:t>壹</w:t>
      </w:r>
      <w:r>
        <w:rPr>
          <w:rFonts w:hint="eastAsia" w:ascii="宋体" w:hAnsi="宋体"/>
          <w:b/>
          <w:bCs/>
          <w:color w:val="auto"/>
          <w:highlight w:val="none"/>
          <w:u w:val="single"/>
          <w:lang w:eastAsia="zh-CN"/>
        </w:rPr>
        <w:t xml:space="preserve"> </w:t>
      </w:r>
      <w:r>
        <w:rPr>
          <w:rFonts w:hint="eastAsia" w:ascii="宋体" w:hAnsi="宋体" w:eastAsia="宋体"/>
          <w:b/>
          <w:bCs/>
          <w:color w:val="auto"/>
          <w:highlight w:val="none"/>
          <w:lang w:eastAsia="zh-CN"/>
        </w:rPr>
        <w:t>份完整版本的加盖公章(或电子章)PDF版本电子投标文件</w:t>
      </w:r>
      <w:r>
        <w:rPr>
          <w:rFonts w:ascii="宋体" w:hAnsi="宋体" w:eastAsia="宋体"/>
          <w:b/>
          <w:bCs/>
          <w:color w:val="auto"/>
          <w:highlight w:val="none"/>
          <w:lang w:eastAsia="zh-CN"/>
        </w:rPr>
        <w:t>。</w:t>
      </w:r>
      <w:r>
        <w:rPr>
          <w:rFonts w:ascii="宋体" w:hAnsi="宋体" w:eastAsia="宋体"/>
          <w:color w:val="auto"/>
          <w:highlight w:val="none"/>
          <w:lang w:eastAsia="zh-CN"/>
        </w:rPr>
        <w:t>每份投标文件须清楚地标明“正本”或“副本”字样，正本与副本必须一致；若正本与副本不一致，以正本为准。</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1</w:t>
      </w:r>
      <w:r>
        <w:rPr>
          <w:rFonts w:hint="eastAsia" w:ascii="宋体" w:hAnsi="宋体" w:eastAsia="宋体"/>
          <w:color w:val="auto"/>
          <w:highlight w:val="none"/>
          <w:lang w:eastAsia="zh-CN"/>
        </w:rPr>
        <w:t>5</w:t>
      </w:r>
      <w:r>
        <w:rPr>
          <w:rFonts w:ascii="宋体" w:hAnsi="宋体" w:eastAsia="宋体"/>
          <w:color w:val="auto"/>
          <w:highlight w:val="none"/>
          <w:lang w:eastAsia="zh-CN"/>
        </w:rPr>
        <w:t>.3投标文件的正本和所有的副本均需打印。</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1</w:t>
      </w:r>
      <w:r>
        <w:rPr>
          <w:rFonts w:hint="eastAsia" w:ascii="宋体" w:hAnsi="宋体" w:eastAsia="宋体"/>
          <w:color w:val="auto"/>
          <w:highlight w:val="none"/>
          <w:lang w:eastAsia="zh-CN"/>
        </w:rPr>
        <w:t>5</w:t>
      </w:r>
      <w:r>
        <w:rPr>
          <w:rFonts w:ascii="宋体" w:hAnsi="宋体" w:eastAsia="宋体"/>
          <w:color w:val="auto"/>
          <w:highlight w:val="none"/>
          <w:lang w:eastAsia="zh-CN"/>
        </w:rPr>
        <w:t>.4投标文件不得行间插字、涂改或增删。如有修改错漏处，必须由投标人的法定代表人或其授权代表签字和盖章。</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1</w:t>
      </w:r>
      <w:r>
        <w:rPr>
          <w:rFonts w:hint="eastAsia" w:ascii="宋体" w:hAnsi="宋体" w:eastAsia="宋体"/>
          <w:color w:val="auto"/>
          <w:highlight w:val="none"/>
          <w:lang w:eastAsia="zh-CN"/>
        </w:rPr>
        <w:t>5</w:t>
      </w:r>
      <w:r>
        <w:rPr>
          <w:rFonts w:ascii="宋体" w:hAnsi="宋体" w:eastAsia="宋体"/>
          <w:color w:val="auto"/>
          <w:highlight w:val="none"/>
          <w:lang w:eastAsia="zh-CN"/>
        </w:rPr>
        <w:t>.5投标人应将投标文件的正本和副本一起或分别用包装袋封装好</w:t>
      </w:r>
      <w:r>
        <w:rPr>
          <w:rFonts w:hint="eastAsia" w:ascii="宋体" w:hAnsi="宋体" w:eastAsia="宋体"/>
          <w:b/>
          <w:bCs/>
          <w:color w:val="auto"/>
          <w:highlight w:val="none"/>
          <w:lang w:eastAsia="zh-CN"/>
        </w:rPr>
        <w:t>(u盘单独封装或与投标文件一起封装)</w:t>
      </w:r>
      <w:r>
        <w:rPr>
          <w:rFonts w:ascii="宋体" w:hAnsi="宋体" w:eastAsia="宋体"/>
          <w:color w:val="auto"/>
          <w:highlight w:val="none"/>
          <w:lang w:eastAsia="zh-CN"/>
        </w:rPr>
        <w:t>。封装应该严密、不易破损。封口处应盖有投标人公章或授权代表签名。</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1</w:t>
      </w:r>
      <w:r>
        <w:rPr>
          <w:rFonts w:hint="eastAsia" w:ascii="宋体" w:hAnsi="宋体" w:eastAsia="宋体"/>
          <w:color w:val="auto"/>
          <w:highlight w:val="none"/>
          <w:lang w:eastAsia="zh-CN"/>
        </w:rPr>
        <w:t>5</w:t>
      </w:r>
      <w:r>
        <w:rPr>
          <w:rFonts w:ascii="宋体" w:hAnsi="宋体" w:eastAsia="宋体"/>
          <w:color w:val="auto"/>
          <w:highlight w:val="none"/>
          <w:lang w:eastAsia="zh-CN"/>
        </w:rPr>
        <w:t>.6投标文件包装袋上必须清楚写明项目的名称、项目编号、投标人全称。</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15.</w:t>
      </w:r>
      <w:r>
        <w:rPr>
          <w:rFonts w:hint="eastAsia" w:ascii="宋体" w:hAnsi="宋体" w:eastAsia="宋体"/>
          <w:color w:val="auto"/>
          <w:highlight w:val="none"/>
          <w:lang w:eastAsia="zh-CN"/>
        </w:rPr>
        <w:t>7</w:t>
      </w:r>
      <w:r>
        <w:rPr>
          <w:rFonts w:ascii="宋体" w:hAnsi="宋体" w:eastAsia="宋体"/>
          <w:color w:val="auto"/>
          <w:highlight w:val="none"/>
          <w:lang w:eastAsia="zh-CN"/>
        </w:rPr>
        <w:t xml:space="preserve"> 开标现场提交的其他材料要求详见</w:t>
      </w:r>
      <w:r>
        <w:rPr>
          <w:rFonts w:ascii="宋体" w:hAnsi="宋体" w:eastAsia="宋体"/>
          <w:color w:val="auto"/>
          <w:highlight w:val="none"/>
          <w:u w:val="single"/>
          <w:lang w:eastAsia="zh-CN"/>
        </w:rPr>
        <w:t>投标人须知前附表</w:t>
      </w:r>
      <w:r>
        <w:rPr>
          <w:rFonts w:ascii="宋体" w:hAnsi="宋体" w:eastAsia="宋体"/>
          <w:color w:val="auto"/>
          <w:highlight w:val="none"/>
          <w:lang w:eastAsia="zh-CN"/>
        </w:rPr>
        <w:t>。</w:t>
      </w:r>
    </w:p>
    <w:p>
      <w:pPr>
        <w:adjustRightInd w:val="0"/>
        <w:snapToGrid w:val="0"/>
        <w:spacing w:line="360" w:lineRule="auto"/>
        <w:ind w:firstLine="482" w:firstLineChars="200"/>
        <w:rPr>
          <w:rFonts w:hint="eastAsia" w:ascii="宋体" w:hAnsi="宋体" w:eastAsia="宋体"/>
          <w:color w:val="auto"/>
          <w:highlight w:val="none"/>
          <w:lang w:eastAsia="zh-CN"/>
        </w:rPr>
      </w:pPr>
      <w:r>
        <w:rPr>
          <w:rFonts w:ascii="宋体" w:hAnsi="宋体" w:eastAsia="宋体"/>
          <w:b/>
          <w:bCs/>
          <w:color w:val="auto"/>
          <w:highlight w:val="none"/>
          <w:lang w:eastAsia="zh-CN"/>
        </w:rPr>
        <w:t>16.投标截止</w:t>
      </w:r>
      <w:r>
        <w:rPr>
          <w:rFonts w:ascii="宋体" w:hAnsi="宋体" w:eastAsia="宋体"/>
          <w:color w:val="auto"/>
          <w:highlight w:val="none"/>
          <w:lang w:eastAsia="zh-CN"/>
        </w:rPr>
        <w:t xml:space="preserve"> </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16.1 投标人应在</w:t>
      </w:r>
      <w:r>
        <w:rPr>
          <w:rFonts w:ascii="宋体" w:hAnsi="宋体" w:eastAsia="宋体"/>
          <w:color w:val="auto"/>
          <w:highlight w:val="none"/>
          <w:u w:val="single"/>
          <w:lang w:eastAsia="zh-CN"/>
        </w:rPr>
        <w:t>投标人须知前附表</w:t>
      </w:r>
      <w:r>
        <w:rPr>
          <w:rFonts w:ascii="宋体" w:hAnsi="宋体" w:eastAsia="宋体"/>
          <w:color w:val="auto"/>
          <w:highlight w:val="none"/>
          <w:lang w:eastAsia="zh-CN"/>
        </w:rPr>
        <w:t xml:space="preserve">中规定的投标截止时间前，提交投标文件。 </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16.</w:t>
      </w:r>
      <w:r>
        <w:rPr>
          <w:rFonts w:hint="eastAsia" w:ascii="宋体" w:hAnsi="宋体" w:eastAsia="宋体"/>
          <w:color w:val="auto"/>
          <w:highlight w:val="none"/>
          <w:lang w:eastAsia="zh-CN"/>
        </w:rPr>
        <w:t>2</w:t>
      </w:r>
      <w:r>
        <w:rPr>
          <w:rFonts w:ascii="宋体" w:hAnsi="宋体" w:eastAsia="宋体"/>
          <w:color w:val="auto"/>
          <w:highlight w:val="none"/>
          <w:lang w:eastAsia="zh-CN"/>
        </w:rPr>
        <w:t xml:space="preserve"> 采购人和采购代理机构有权按本</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的规定，延迟投标截止时间。在此情况下，采购人、采购代理机构和投标人受投标截止时间制约的所有权利和义务均应延长至新的截止时间。</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17</w:t>
      </w:r>
      <w:r>
        <w:rPr>
          <w:rFonts w:ascii="宋体" w:hAnsi="宋体" w:eastAsia="宋体"/>
          <w:b/>
          <w:color w:val="auto"/>
          <w:highlight w:val="none"/>
          <w:lang w:eastAsia="zh-CN"/>
        </w:rPr>
        <w:t>.</w:t>
      </w:r>
      <w:r>
        <w:rPr>
          <w:rFonts w:hint="eastAsia" w:ascii="宋体" w:hAnsi="宋体" w:eastAsia="宋体"/>
          <w:b/>
          <w:color w:val="auto"/>
          <w:highlight w:val="none"/>
          <w:lang w:eastAsia="zh-CN"/>
        </w:rPr>
        <w:t>投标文件的递交、修改与撤回</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1</w:t>
      </w:r>
      <w:r>
        <w:rPr>
          <w:rFonts w:hint="eastAsia" w:ascii="宋体" w:hAnsi="宋体" w:eastAsia="宋体"/>
          <w:color w:val="auto"/>
          <w:highlight w:val="none"/>
          <w:lang w:eastAsia="zh-CN"/>
        </w:rPr>
        <w:t>7.1投标人应当在投标截止时间前完成投标文件的递交，并可以补充、修改或者撤回投标文件。投标截止时间前未完成投标文件递交的，视为撤回投标文件。未按规定加密或投标截止时间后送达的投标文件，应当拒收。</w:t>
      </w:r>
    </w:p>
    <w:p>
      <w:pPr>
        <w:adjustRightInd w:val="0"/>
        <w:snapToGrid w:val="0"/>
        <w:spacing w:line="360" w:lineRule="auto"/>
        <w:ind w:firstLine="482" w:firstLineChars="200"/>
        <w:rPr>
          <w:rFonts w:hint="eastAsia" w:ascii="宋体" w:hAnsi="宋体" w:eastAsia="宋体"/>
          <w:b/>
          <w:bCs/>
          <w:color w:val="auto"/>
          <w:highlight w:val="none"/>
          <w:lang w:eastAsia="zh-CN"/>
        </w:rPr>
      </w:pPr>
      <w:r>
        <w:rPr>
          <w:rFonts w:hint="eastAsia" w:ascii="宋体" w:hAnsi="宋体" w:eastAsia="宋体"/>
          <w:b/>
          <w:bCs/>
          <w:color w:val="auto"/>
          <w:highlight w:val="none"/>
          <w:lang w:eastAsia="zh-CN"/>
        </w:rPr>
        <w:t>18.开标</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18.1 采购人和采购代理机构将按</w:t>
      </w:r>
      <w:r>
        <w:rPr>
          <w:rFonts w:hint="eastAsia" w:ascii="宋体" w:hAnsi="宋体" w:eastAsia="宋体"/>
          <w:color w:val="auto"/>
          <w:highlight w:val="none"/>
          <w:u w:val="single"/>
          <w:lang w:eastAsia="zh-CN"/>
        </w:rPr>
        <w:t>遴选公告</w:t>
      </w:r>
      <w:r>
        <w:rPr>
          <w:rFonts w:hint="eastAsia" w:ascii="宋体" w:hAnsi="宋体" w:eastAsia="宋体"/>
          <w:color w:val="auto"/>
          <w:highlight w:val="none"/>
          <w:lang w:eastAsia="zh-CN"/>
        </w:rPr>
        <w:t>中规定的开标时间和地点组织公开开标。</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18.2 采购人或采购代理机构将对开标过程进行记录，并存档备查。</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投标人未派代表参加开标的，视同投标人认可开标结果。</w:t>
      </w:r>
    </w:p>
    <w:p>
      <w:pPr>
        <w:adjustRightInd w:val="0"/>
        <w:snapToGrid w:val="0"/>
        <w:spacing w:line="360" w:lineRule="auto"/>
        <w:ind w:firstLine="480" w:firstLineChars="200"/>
        <w:rPr>
          <w:rFonts w:hint="eastAsia" w:ascii="宋体" w:hAnsi="宋体" w:eastAsia="宋体"/>
          <w:color w:val="auto"/>
          <w:sz w:val="28"/>
          <w:highlight w:val="none"/>
          <w:lang w:eastAsia="zh-CN"/>
        </w:rPr>
      </w:pPr>
      <w:r>
        <w:rPr>
          <w:rFonts w:hint="eastAsia" w:ascii="宋体" w:hAnsi="宋体" w:eastAsia="宋体"/>
          <w:color w:val="auto"/>
          <w:highlight w:val="none"/>
          <w:lang w:eastAsia="zh-CN"/>
        </w:rPr>
        <w:t>18.3 投标人代表对开标过程和开标记录有疑义，以及认为采购人、采购代理机构相关工作人员有需要回避的情形的，应当场提出询问或者回避申请。</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19</w:t>
      </w:r>
      <w:r>
        <w:rPr>
          <w:rFonts w:ascii="宋体" w:hAnsi="宋体" w:eastAsia="宋体"/>
          <w:b/>
          <w:color w:val="auto"/>
          <w:highlight w:val="none"/>
          <w:lang w:eastAsia="zh-CN"/>
        </w:rPr>
        <w:t>.</w:t>
      </w:r>
      <w:r>
        <w:rPr>
          <w:rFonts w:hint="eastAsia" w:ascii="宋体" w:hAnsi="宋体" w:eastAsia="宋体"/>
          <w:b/>
          <w:color w:val="auto"/>
          <w:highlight w:val="none"/>
          <w:lang w:eastAsia="zh-CN"/>
        </w:rPr>
        <w:t>资格审查及组建评标委员会</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19.1依据法律法规和遴选文件中规定的内容对投标人资格进行审查，未通过资格审查的投标人不进入评标。</w:t>
      </w:r>
    </w:p>
    <w:p>
      <w:pPr>
        <w:adjustRightInd w:val="0"/>
        <w:snapToGrid w:val="0"/>
        <w:spacing w:line="360" w:lineRule="auto"/>
        <w:ind w:firstLine="480" w:firstLineChars="200"/>
        <w:rPr>
          <w:rFonts w:hint="eastAsia" w:ascii="宋体" w:hAnsi="宋体" w:eastAsia="宋体"/>
          <w:color w:val="auto"/>
          <w:highlight w:val="none"/>
        </w:rPr>
      </w:pPr>
      <w:bookmarkStart w:id="8" w:name="_Hlk24663244"/>
      <w:r>
        <w:rPr>
          <w:rFonts w:hint="eastAsia" w:ascii="宋体" w:hAnsi="宋体" w:eastAsia="宋体"/>
          <w:color w:val="auto"/>
          <w:highlight w:val="none"/>
        </w:rPr>
        <w:t>1</w:t>
      </w:r>
      <w:r>
        <w:rPr>
          <w:rFonts w:hint="eastAsia" w:ascii="宋体" w:hAnsi="宋体" w:eastAsia="宋体"/>
          <w:color w:val="auto"/>
          <w:highlight w:val="none"/>
          <w:lang w:eastAsia="zh-CN"/>
        </w:rPr>
        <w:t>9</w:t>
      </w:r>
      <w:r>
        <w:rPr>
          <w:rFonts w:hint="eastAsia" w:ascii="宋体" w:hAnsi="宋体" w:eastAsia="宋体"/>
          <w:color w:val="auto"/>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olor w:val="auto"/>
          <w:highlight w:val="none"/>
          <w:lang w:eastAsia="zh-CN"/>
        </w:rPr>
        <w:t>投标人</w:t>
      </w:r>
      <w:r>
        <w:rPr>
          <w:rFonts w:hint="eastAsia" w:ascii="宋体" w:hAnsi="宋体" w:eastAsia="宋体"/>
          <w:color w:val="auto"/>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b/>
          <w:color w:val="auto"/>
          <w:highlight w:val="none"/>
        </w:rPr>
        <w:t>投标无效</w:t>
      </w:r>
      <w:r>
        <w:rPr>
          <w:rFonts w:hint="eastAsia" w:ascii="宋体" w:hAnsi="宋体" w:eastAsia="宋体"/>
          <w:color w:val="auto"/>
          <w:highlight w:val="none"/>
        </w:rPr>
        <w:t>。</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以联合体形式参加投标的，联合体成员存在以上不良信用记录的，联合体投标将被认定为</w:t>
      </w:r>
      <w:r>
        <w:rPr>
          <w:rFonts w:hint="eastAsia" w:ascii="宋体" w:hAnsi="宋体" w:eastAsia="宋体"/>
          <w:b/>
          <w:color w:val="auto"/>
          <w:highlight w:val="none"/>
          <w:lang w:eastAsia="zh-CN"/>
        </w:rPr>
        <w:t>投标无效</w:t>
      </w:r>
      <w:r>
        <w:rPr>
          <w:rFonts w:hint="eastAsia" w:ascii="宋体" w:hAnsi="宋体" w:eastAsia="宋体"/>
          <w:color w:val="auto"/>
          <w:highlight w:val="none"/>
          <w:lang w:eastAsia="zh-CN"/>
        </w:rPr>
        <w:t>。</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以上信用查询记录，采购人或采购代理机构将下载查询结果页面后与其他采购文件一并保存。投标人不良信用记录以采购人或采购代理机构查询结果为准。在本遴选文件规定的查询时间之外，网站信息发生的任何变更均不作为资格审查依据。投标人自行提供的与网站信息不一致的其他证明材料亦不作为资格审查依据。</w:t>
      </w:r>
      <w:bookmarkEnd w:id="8"/>
    </w:p>
    <w:p>
      <w:pPr>
        <w:adjustRightInd w:val="0"/>
        <w:snapToGrid w:val="0"/>
        <w:spacing w:line="360" w:lineRule="auto"/>
        <w:ind w:firstLine="480" w:firstLineChars="200"/>
        <w:rPr>
          <w:rFonts w:hint="eastAsia" w:ascii="宋体" w:hAnsi="宋体" w:eastAsia="宋体"/>
          <w:b/>
          <w:color w:val="auto"/>
          <w:highlight w:val="none"/>
          <w:lang w:eastAsia="zh-CN"/>
        </w:rPr>
      </w:pPr>
      <w:r>
        <w:rPr>
          <w:rFonts w:hint="eastAsia" w:ascii="宋体" w:hAnsi="宋体" w:eastAsia="宋体"/>
          <w:color w:val="auto"/>
          <w:highlight w:val="none"/>
          <w:lang w:eastAsia="zh-CN"/>
        </w:rPr>
        <w:t>19.3按照《</w:t>
      </w:r>
      <w:r>
        <w:rPr>
          <w:rFonts w:ascii="宋体" w:hAnsi="宋体" w:eastAsia="宋体"/>
          <w:color w:val="auto"/>
          <w:highlight w:val="none"/>
          <w:lang w:eastAsia="zh-CN"/>
        </w:rPr>
        <w:t>中华人民共和国政府采购法》《中华人民共和国政府采购</w:t>
      </w:r>
      <w:r>
        <w:rPr>
          <w:rFonts w:hint="eastAsia" w:ascii="宋体" w:hAnsi="宋体" w:eastAsia="宋体"/>
          <w:color w:val="auto"/>
          <w:highlight w:val="none"/>
          <w:lang w:eastAsia="zh-CN"/>
        </w:rPr>
        <w:t>法</w:t>
      </w:r>
      <w:r>
        <w:rPr>
          <w:rFonts w:ascii="宋体" w:hAnsi="宋体" w:eastAsia="宋体"/>
          <w:color w:val="auto"/>
          <w:highlight w:val="none"/>
          <w:lang w:eastAsia="zh-CN"/>
        </w:rPr>
        <w:t>实施条例》</w:t>
      </w:r>
      <w:r>
        <w:rPr>
          <w:rFonts w:hint="eastAsia" w:ascii="宋体" w:hAnsi="宋体" w:eastAsia="宋体"/>
          <w:color w:val="auto"/>
          <w:highlight w:val="none"/>
          <w:lang w:eastAsia="zh-CN"/>
        </w:rPr>
        <w:t>及本项目本级</w:t>
      </w:r>
      <w:r>
        <w:rPr>
          <w:rFonts w:ascii="宋体" w:hAnsi="宋体" w:eastAsia="宋体"/>
          <w:color w:val="auto"/>
          <w:highlight w:val="none"/>
          <w:lang w:eastAsia="zh-CN"/>
        </w:rPr>
        <w:t>和上级</w:t>
      </w:r>
      <w:r>
        <w:rPr>
          <w:rFonts w:hint="eastAsia" w:ascii="宋体" w:hAnsi="宋体" w:eastAsia="宋体"/>
          <w:color w:val="auto"/>
          <w:highlight w:val="none"/>
          <w:lang w:eastAsia="zh-CN"/>
        </w:rPr>
        <w:t>政府采购监督管理部门的有关规定依法组建的</w:t>
      </w:r>
      <w:r>
        <w:rPr>
          <w:rFonts w:ascii="宋体" w:hAnsi="宋体" w:eastAsia="宋体"/>
          <w:color w:val="auto"/>
          <w:highlight w:val="none"/>
          <w:lang w:eastAsia="zh-CN"/>
        </w:rPr>
        <w:t>评标委员会</w:t>
      </w:r>
      <w:r>
        <w:rPr>
          <w:rFonts w:hint="eastAsia" w:ascii="宋体" w:hAnsi="宋体" w:eastAsia="宋体"/>
          <w:color w:val="auto"/>
          <w:highlight w:val="none"/>
          <w:lang w:eastAsia="zh-CN"/>
        </w:rPr>
        <w:t>，负责本项目评标工作。</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20</w:t>
      </w:r>
      <w:r>
        <w:rPr>
          <w:rFonts w:ascii="宋体" w:hAnsi="宋体" w:eastAsia="宋体"/>
          <w:b/>
          <w:color w:val="auto"/>
          <w:highlight w:val="none"/>
          <w:lang w:eastAsia="zh-CN"/>
        </w:rPr>
        <w:t>.</w:t>
      </w:r>
      <w:r>
        <w:rPr>
          <w:rFonts w:hint="eastAsia" w:ascii="宋体" w:hAnsi="宋体" w:eastAsia="宋体"/>
          <w:b/>
          <w:color w:val="auto"/>
          <w:highlight w:val="none"/>
          <w:lang w:eastAsia="zh-CN"/>
        </w:rPr>
        <w:t>投标文件符合性审查与澄清</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20</w:t>
      </w:r>
      <w:r>
        <w:rPr>
          <w:rFonts w:ascii="宋体" w:hAnsi="宋体" w:eastAsia="宋体"/>
          <w:color w:val="auto"/>
          <w:highlight w:val="none"/>
          <w:lang w:eastAsia="zh-CN"/>
        </w:rPr>
        <w:t>.1符合性审查是指依据</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的规定，从投标文件的有效性和完整性对</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的响应程度进行审查，以确定是否对</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的实质性要求做出响应。</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20</w:t>
      </w:r>
      <w:r>
        <w:rPr>
          <w:rFonts w:ascii="宋体" w:hAnsi="宋体" w:eastAsia="宋体"/>
          <w:color w:val="auto"/>
          <w:highlight w:val="none"/>
          <w:lang w:eastAsia="zh-CN"/>
        </w:rPr>
        <w:t>.</w:t>
      </w:r>
      <w:r>
        <w:rPr>
          <w:rFonts w:hint="eastAsia" w:ascii="宋体" w:hAnsi="宋体" w:eastAsia="宋体"/>
          <w:color w:val="auto"/>
          <w:highlight w:val="none"/>
          <w:lang w:eastAsia="zh-CN"/>
        </w:rPr>
        <w:t>2投标文件的澄清</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20</w:t>
      </w:r>
      <w:r>
        <w:rPr>
          <w:rFonts w:ascii="宋体" w:hAnsi="宋体" w:eastAsia="宋体"/>
          <w:color w:val="auto"/>
          <w:highlight w:val="none"/>
          <w:lang w:eastAsia="zh-CN"/>
        </w:rPr>
        <w:t>.</w:t>
      </w:r>
      <w:r>
        <w:rPr>
          <w:rFonts w:hint="eastAsia" w:ascii="宋体" w:hAnsi="宋体" w:eastAsia="宋体"/>
          <w:color w:val="auto"/>
          <w:highlight w:val="none"/>
          <w:lang w:eastAsia="zh-CN"/>
        </w:rPr>
        <w:t>2</w:t>
      </w:r>
      <w:r>
        <w:rPr>
          <w:rFonts w:ascii="宋体" w:hAnsi="宋体" w:eastAsia="宋体"/>
          <w:color w:val="auto"/>
          <w:highlight w:val="none"/>
          <w:lang w:eastAsia="zh-CN"/>
        </w:rPr>
        <w:t>.1为有助于投标</w:t>
      </w:r>
      <w:r>
        <w:rPr>
          <w:rFonts w:hint="eastAsia" w:ascii="宋体" w:hAnsi="宋体" w:eastAsia="宋体"/>
          <w:color w:val="auto"/>
          <w:highlight w:val="none"/>
          <w:lang w:eastAsia="zh-CN"/>
        </w:rPr>
        <w:t>文件</w:t>
      </w:r>
      <w:r>
        <w:rPr>
          <w:rFonts w:ascii="宋体" w:hAnsi="宋体" w:eastAsia="宋体"/>
          <w:color w:val="auto"/>
          <w:highlight w:val="none"/>
          <w:lang w:eastAsia="zh-CN"/>
        </w:rPr>
        <w:t>的审查、评价和比较，在评标期间，评标委员会将以书面</w:t>
      </w:r>
      <w:r>
        <w:rPr>
          <w:rFonts w:hint="eastAsia" w:ascii="宋体" w:hAnsi="宋体" w:eastAsia="宋体"/>
          <w:color w:val="auto"/>
          <w:highlight w:val="none"/>
          <w:lang w:eastAsia="zh-CN"/>
        </w:rPr>
        <w:t>方式（询标）</w:t>
      </w:r>
      <w:r>
        <w:rPr>
          <w:rFonts w:ascii="宋体" w:hAnsi="宋体" w:eastAsia="宋体"/>
          <w:color w:val="auto"/>
          <w:highlight w:val="none"/>
          <w:lang w:eastAsia="zh-CN"/>
        </w:rPr>
        <w:t>要求投标人对其投标文件中含义不明确、对同类问题表述不一致或者有明显文字和计算错误的内容作必要的澄清、说明或补正。投标人的澄清、说明或补正应在评标委员会规定的时间内以书面</w:t>
      </w:r>
      <w:r>
        <w:rPr>
          <w:rFonts w:hint="eastAsia" w:ascii="宋体" w:hAnsi="宋体" w:eastAsia="宋体"/>
          <w:color w:val="auto"/>
          <w:highlight w:val="none"/>
          <w:lang w:eastAsia="zh-CN"/>
        </w:rPr>
        <w:t>方式</w:t>
      </w:r>
      <w:r>
        <w:rPr>
          <w:rFonts w:ascii="宋体" w:hAnsi="宋体" w:eastAsia="宋体"/>
          <w:color w:val="auto"/>
          <w:highlight w:val="none"/>
          <w:lang w:eastAsia="zh-CN"/>
        </w:rPr>
        <w:t>进行，并不得超出投标文件范围或者改变投标文件的实质性内容。</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如有询标，投标人授权代表（或法定代表人）可凭本人有效身份证明参加询标。因投标人授权代表联系不上等情形而无法接受评标委员会询标的，投标人自行承担相关风险。</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20.2</w:t>
      </w:r>
      <w:r>
        <w:rPr>
          <w:rFonts w:ascii="宋体" w:hAnsi="宋体" w:eastAsia="宋体"/>
          <w:color w:val="auto"/>
          <w:highlight w:val="none"/>
          <w:lang w:eastAsia="zh-CN"/>
        </w:rPr>
        <w:t>.2</w:t>
      </w:r>
      <w:r>
        <w:rPr>
          <w:rFonts w:hint="eastAsia" w:ascii="宋体" w:hAnsi="宋体" w:eastAsia="宋体"/>
          <w:color w:val="auto"/>
          <w:highlight w:val="none"/>
          <w:lang w:eastAsia="zh-CN"/>
        </w:rPr>
        <w:t>投标人的澄清、说明或补正将作为投标文件的一部分。</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20.2</w:t>
      </w:r>
      <w:r>
        <w:rPr>
          <w:rFonts w:ascii="宋体" w:hAnsi="宋体" w:eastAsia="宋体"/>
          <w:color w:val="auto"/>
          <w:highlight w:val="none"/>
          <w:lang w:eastAsia="zh-CN"/>
        </w:rPr>
        <w:t>.3评标委员会对投标人提交的澄清、说明或补正有疑问的，可以要求投标人进一步澄清、说明或补正，直至满足评标委员会的要求。</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20.3</w:t>
      </w:r>
      <w:r>
        <w:rPr>
          <w:rFonts w:ascii="宋体" w:hAnsi="宋体" w:eastAsia="宋体"/>
          <w:color w:val="auto"/>
          <w:highlight w:val="none"/>
          <w:lang w:eastAsia="zh-CN"/>
        </w:rPr>
        <w:t>投标文件报价出现前后不一致的，按照下列规定修正：</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w:t>
      </w:r>
      <w:r>
        <w:rPr>
          <w:rFonts w:hint="eastAsia" w:ascii="宋体" w:hAnsi="宋体" w:eastAsia="宋体"/>
          <w:color w:val="auto"/>
          <w:highlight w:val="none"/>
          <w:lang w:eastAsia="zh-CN"/>
        </w:rPr>
        <w:t>1</w:t>
      </w:r>
      <w:r>
        <w:rPr>
          <w:rFonts w:ascii="宋体" w:hAnsi="宋体" w:eastAsia="宋体"/>
          <w:color w:val="auto"/>
          <w:highlight w:val="none"/>
          <w:lang w:eastAsia="zh-CN"/>
        </w:rPr>
        <w:t>）投标文件中开标一览表内容与投标文件中相应内容不一致的，以开标一览表为准；</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w:t>
      </w:r>
      <w:r>
        <w:rPr>
          <w:rFonts w:hint="eastAsia" w:ascii="宋体" w:hAnsi="宋体" w:eastAsia="宋体"/>
          <w:color w:val="auto"/>
          <w:highlight w:val="none"/>
          <w:lang w:eastAsia="zh-CN"/>
        </w:rPr>
        <w:t>2</w:t>
      </w:r>
      <w:r>
        <w:rPr>
          <w:rFonts w:ascii="宋体" w:hAnsi="宋体" w:eastAsia="宋体"/>
          <w:color w:val="auto"/>
          <w:highlight w:val="none"/>
          <w:lang w:eastAsia="zh-CN"/>
        </w:rPr>
        <w:t>）大写金额和小写金额不一致的，以大写金额为准；</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w:t>
      </w:r>
      <w:r>
        <w:rPr>
          <w:rFonts w:hint="eastAsia" w:ascii="宋体" w:hAnsi="宋体" w:eastAsia="宋体"/>
          <w:color w:val="auto"/>
          <w:highlight w:val="none"/>
          <w:lang w:eastAsia="zh-CN"/>
        </w:rPr>
        <w:t>3</w:t>
      </w:r>
      <w:r>
        <w:rPr>
          <w:rFonts w:ascii="宋体" w:hAnsi="宋体" w:eastAsia="宋体"/>
          <w:color w:val="auto"/>
          <w:highlight w:val="none"/>
          <w:lang w:eastAsia="zh-CN"/>
        </w:rPr>
        <w:t>）单价金额小数点或者百分比有明显错位的，以开标一览表的总价为准，并修改单价；</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w:t>
      </w:r>
      <w:r>
        <w:rPr>
          <w:rFonts w:hint="eastAsia" w:ascii="宋体" w:hAnsi="宋体" w:eastAsia="宋体"/>
          <w:color w:val="auto"/>
          <w:highlight w:val="none"/>
          <w:lang w:eastAsia="zh-CN"/>
        </w:rPr>
        <w:t>4</w:t>
      </w:r>
      <w:r>
        <w:rPr>
          <w:rFonts w:ascii="宋体" w:hAnsi="宋体" w:eastAsia="宋体"/>
          <w:color w:val="auto"/>
          <w:highlight w:val="none"/>
          <w:lang w:eastAsia="zh-CN"/>
        </w:rPr>
        <w:t>）总价金额与按单价汇总金额不一致的，以单价金额计算结果为准。</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同时出现两种以上不一致的，按照前款规定的顺序修正。修正后的报价按照第</w:t>
      </w:r>
      <w:r>
        <w:rPr>
          <w:rFonts w:hint="eastAsia" w:ascii="宋体" w:hAnsi="宋体" w:eastAsia="宋体"/>
          <w:color w:val="auto"/>
          <w:highlight w:val="none"/>
          <w:lang w:eastAsia="zh-CN"/>
        </w:rPr>
        <w:t>20.2</w:t>
      </w:r>
      <w:r>
        <w:rPr>
          <w:rFonts w:ascii="宋体" w:hAnsi="宋体" w:eastAsia="宋体"/>
          <w:color w:val="auto"/>
          <w:highlight w:val="none"/>
          <w:lang w:eastAsia="zh-CN"/>
        </w:rPr>
        <w:t>条的规定经投标人确认后产生约束力，投标人不确认的，其投标将被认定为</w:t>
      </w:r>
      <w:r>
        <w:rPr>
          <w:rFonts w:ascii="宋体" w:hAnsi="宋体" w:eastAsia="宋体"/>
          <w:b/>
          <w:color w:val="auto"/>
          <w:highlight w:val="none"/>
          <w:lang w:eastAsia="zh-CN"/>
        </w:rPr>
        <w:t>投标无效</w:t>
      </w:r>
      <w:r>
        <w:rPr>
          <w:rFonts w:ascii="宋体" w:hAnsi="宋体" w:eastAsia="宋体"/>
          <w:color w:val="auto"/>
          <w:highlight w:val="none"/>
          <w:lang w:eastAsia="zh-CN"/>
        </w:rPr>
        <w:t>。</w:t>
      </w:r>
    </w:p>
    <w:p>
      <w:pPr>
        <w:adjustRightInd w:val="0"/>
        <w:snapToGrid w:val="0"/>
        <w:spacing w:line="360" w:lineRule="auto"/>
        <w:ind w:firstLine="480" w:firstLineChars="200"/>
        <w:rPr>
          <w:rFonts w:hint="eastAsia" w:ascii="宋体" w:hAnsi="宋体" w:eastAsia="宋体"/>
          <w:b/>
          <w:color w:val="auto"/>
          <w:highlight w:val="none"/>
          <w:lang w:eastAsia="zh-CN"/>
        </w:rPr>
      </w:pPr>
      <w:r>
        <w:rPr>
          <w:rFonts w:hint="eastAsia" w:ascii="宋体" w:hAnsi="宋体" w:eastAsia="宋体"/>
          <w:color w:val="auto"/>
          <w:highlight w:val="none"/>
          <w:lang w:eastAsia="zh-CN"/>
        </w:rPr>
        <w:t>对不同文字文本投标文件的解释发生异议的，以中文文本为准。</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21.投标无效</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21.</w:t>
      </w:r>
      <w:r>
        <w:rPr>
          <w:rFonts w:ascii="宋体" w:hAnsi="宋体" w:eastAsia="宋体"/>
          <w:color w:val="auto"/>
          <w:highlight w:val="none"/>
          <w:lang w:eastAsia="zh-CN"/>
        </w:rPr>
        <w:t>1根据本</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的规定，评标委员会要审查每份投标文件是否实质上响应了</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的要求。投标人不得通过修正或撤销不符合要求的偏离，从而使其投标成为实质上响应的投标。</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评标委员会决定投标的响应性只根据遴选文件要求和投标文件内容。</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无论何种原因，即使投标人投标时携带了证书材料的原件，但投标文件中未提供与之内容完全一致的扫描件的，评标委员会视同其未提供。</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21.</w:t>
      </w:r>
      <w:r>
        <w:rPr>
          <w:rFonts w:ascii="宋体" w:hAnsi="宋体" w:eastAsia="宋体"/>
          <w:color w:val="auto"/>
          <w:highlight w:val="none"/>
          <w:lang w:eastAsia="zh-CN"/>
        </w:rPr>
        <w:t>2如发现下列情况之一的，其投标将被认定为</w:t>
      </w:r>
      <w:r>
        <w:rPr>
          <w:rFonts w:ascii="宋体" w:hAnsi="宋体" w:eastAsia="宋体"/>
          <w:b/>
          <w:color w:val="auto"/>
          <w:highlight w:val="none"/>
          <w:lang w:eastAsia="zh-CN"/>
        </w:rPr>
        <w:t>投标无效</w:t>
      </w:r>
      <w:r>
        <w:rPr>
          <w:rFonts w:ascii="宋体" w:hAnsi="宋体" w:eastAsia="宋体"/>
          <w:color w:val="auto"/>
          <w:highlight w:val="none"/>
          <w:lang w:eastAsia="zh-CN"/>
        </w:rPr>
        <w:t>：</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w:t>
      </w:r>
      <w:r>
        <w:rPr>
          <w:rFonts w:ascii="宋体" w:hAnsi="宋体" w:eastAsia="宋体"/>
          <w:color w:val="auto"/>
          <w:highlight w:val="none"/>
          <w:lang w:eastAsia="zh-CN"/>
        </w:rPr>
        <w:t>1）投标文件未按照</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规定要求签署、盖章的；</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w:t>
      </w:r>
      <w:r>
        <w:rPr>
          <w:rFonts w:ascii="宋体" w:hAnsi="宋体" w:eastAsia="宋体"/>
          <w:color w:val="auto"/>
          <w:highlight w:val="none"/>
          <w:lang w:eastAsia="zh-CN"/>
        </w:rPr>
        <w:t>2）不具备</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中规定的资格要求的；</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w:t>
      </w:r>
      <w:r>
        <w:rPr>
          <w:rFonts w:ascii="宋体" w:hAnsi="宋体" w:eastAsia="宋体"/>
          <w:color w:val="auto"/>
          <w:highlight w:val="none"/>
          <w:lang w:eastAsia="zh-CN"/>
        </w:rPr>
        <w:t>3）报价超过</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中规定的预算金额或者最高限价的；</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w:t>
      </w:r>
      <w:r>
        <w:rPr>
          <w:rFonts w:ascii="宋体" w:hAnsi="宋体" w:eastAsia="宋体"/>
          <w:color w:val="auto"/>
          <w:highlight w:val="none"/>
          <w:lang w:eastAsia="zh-CN"/>
        </w:rPr>
        <w:t>4）投标文件含有采购人不能接受的附加条件的；</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w:t>
      </w:r>
      <w:r>
        <w:rPr>
          <w:rFonts w:ascii="宋体" w:hAnsi="宋体" w:eastAsia="宋体"/>
          <w:color w:val="auto"/>
          <w:highlight w:val="none"/>
          <w:lang w:eastAsia="zh-CN"/>
        </w:rPr>
        <w:t>5）法律、法规和</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规定的其他无效情形。</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color w:val="auto"/>
          <w:highlight w:val="none"/>
          <w:lang w:eastAsia="zh-CN"/>
        </w:rPr>
        <w:t xml:space="preserve"> </w:t>
      </w:r>
      <w:r>
        <w:rPr>
          <w:rFonts w:hint="eastAsia" w:ascii="宋体" w:hAnsi="宋体" w:eastAsia="宋体"/>
          <w:color w:val="auto"/>
          <w:highlight w:val="none"/>
          <w:lang w:eastAsia="zh-CN"/>
        </w:rPr>
        <w:t>21.3 参与同一个采购包（标段）的供应商存在下列情形之一且</w:t>
      </w:r>
      <w:bookmarkStart w:id="9" w:name="OLE_LINK9"/>
      <w:r>
        <w:rPr>
          <w:rFonts w:hint="eastAsia" w:ascii="宋体" w:hAnsi="宋体" w:eastAsia="宋体"/>
          <w:color w:val="auto"/>
          <w:highlight w:val="none"/>
          <w:lang w:eastAsia="zh-CN"/>
        </w:rPr>
        <w:t>无法合理解释</w:t>
      </w:r>
      <w:bookmarkEnd w:id="9"/>
      <w:r>
        <w:rPr>
          <w:rFonts w:hint="eastAsia" w:ascii="宋体" w:hAnsi="宋体" w:eastAsia="宋体"/>
          <w:color w:val="auto"/>
          <w:highlight w:val="none"/>
          <w:lang w:eastAsia="zh-CN"/>
        </w:rPr>
        <w:t>的，其</w:t>
      </w:r>
      <w:r>
        <w:rPr>
          <w:rFonts w:hint="eastAsia" w:ascii="宋体" w:hAnsi="宋体" w:eastAsia="宋体"/>
          <w:b/>
          <w:bCs/>
          <w:color w:val="auto"/>
          <w:highlight w:val="none"/>
          <w:lang w:eastAsia="zh-CN"/>
        </w:rPr>
        <w:t>投标文件无效</w:t>
      </w:r>
      <w:r>
        <w:rPr>
          <w:rFonts w:hint="eastAsia" w:ascii="宋体" w:hAnsi="宋体" w:eastAsia="宋体"/>
          <w:color w:val="auto"/>
          <w:highlight w:val="none"/>
          <w:lang w:eastAsia="zh-CN"/>
        </w:rPr>
        <w:t>，评审报告应详细记录相关情况。</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（1）提交的投标文件若出现加盖其他投标供应商的纸质或电子印章的，或者有其他投标供应商相关资料的；</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（2）不同供应商的投标文件的技术、服务方案等内容存在错误一致或3个（含）以上异常相同的；</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（3）不同供应商投标文件中联系人为同一人或不同联系人的联系电话一致的。</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22.比较与评价</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22.1经符合性审查合格的投标文件，评标委员会将根据遴选文件确定的评标方法和标准，对其投标文件作进一步的比较与评价。</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22.2评标严格按照遴选文件的要求和条件进行。根据实际情况，在</w:t>
      </w:r>
      <w:r>
        <w:rPr>
          <w:rFonts w:hint="eastAsia" w:ascii="宋体" w:hAnsi="宋体" w:eastAsia="宋体"/>
          <w:color w:val="auto"/>
          <w:highlight w:val="none"/>
          <w:u w:val="single"/>
          <w:lang w:eastAsia="zh-CN"/>
        </w:rPr>
        <w:t>投标人须知前附表</w:t>
      </w:r>
      <w:r>
        <w:rPr>
          <w:rFonts w:hint="eastAsia" w:ascii="宋体" w:hAnsi="宋体" w:eastAsia="宋体"/>
          <w:color w:val="auto"/>
          <w:highlight w:val="none"/>
          <w:lang w:eastAsia="zh-CN"/>
        </w:rPr>
        <w:t>中规定采用下列一种评标方法，详细评标方法和标准见遴选文件第四章：</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（1）最低评标价法，是指</w:t>
      </w:r>
      <w:r>
        <w:rPr>
          <w:rFonts w:ascii="宋体" w:hAnsi="宋体" w:eastAsia="宋体"/>
          <w:color w:val="auto"/>
          <w:highlight w:val="none"/>
          <w:lang w:eastAsia="zh-CN"/>
        </w:rPr>
        <w:t>投标文件满足</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全部实质性要求</w:t>
      </w:r>
      <w:r>
        <w:rPr>
          <w:rFonts w:hint="eastAsia" w:ascii="宋体" w:hAnsi="宋体" w:eastAsia="宋体"/>
          <w:color w:val="auto"/>
          <w:highlight w:val="none"/>
          <w:lang w:eastAsia="zh-CN"/>
        </w:rPr>
        <w:t>，</w:t>
      </w:r>
      <w:r>
        <w:rPr>
          <w:rFonts w:ascii="宋体" w:hAnsi="宋体" w:eastAsia="宋体"/>
          <w:color w:val="auto"/>
          <w:highlight w:val="none"/>
          <w:lang w:eastAsia="zh-CN"/>
        </w:rPr>
        <w:t>且投标报价最低的</w:t>
      </w:r>
      <w:r>
        <w:rPr>
          <w:rFonts w:hint="eastAsia" w:ascii="宋体" w:hAnsi="宋体" w:eastAsia="宋体"/>
          <w:color w:val="auto"/>
          <w:highlight w:val="none"/>
          <w:lang w:eastAsia="zh-CN"/>
        </w:rPr>
        <w:t>投标人</w:t>
      </w:r>
      <w:r>
        <w:rPr>
          <w:rFonts w:ascii="宋体" w:hAnsi="宋体" w:eastAsia="宋体"/>
          <w:color w:val="auto"/>
          <w:highlight w:val="none"/>
          <w:lang w:eastAsia="zh-CN"/>
        </w:rPr>
        <w:t>为中标</w:t>
      </w:r>
      <w:r>
        <w:rPr>
          <w:rFonts w:hint="eastAsia" w:ascii="宋体" w:hAnsi="宋体" w:eastAsia="宋体"/>
          <w:color w:val="auto"/>
          <w:highlight w:val="none"/>
          <w:lang w:eastAsia="zh-CN"/>
        </w:rPr>
        <w:t>候选</w:t>
      </w:r>
      <w:r>
        <w:rPr>
          <w:rFonts w:ascii="宋体" w:hAnsi="宋体" w:eastAsia="宋体"/>
          <w:color w:val="auto"/>
          <w:highlight w:val="none"/>
          <w:lang w:eastAsia="zh-CN"/>
        </w:rPr>
        <w:t>人的评标方法</w:t>
      </w:r>
      <w:r>
        <w:rPr>
          <w:rFonts w:hint="eastAsia" w:ascii="宋体" w:hAnsi="宋体" w:eastAsia="宋体"/>
          <w:color w:val="auto"/>
          <w:highlight w:val="none"/>
          <w:lang w:eastAsia="zh-CN"/>
        </w:rPr>
        <w:t>。</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（2）综合评分法，是</w:t>
      </w:r>
      <w:r>
        <w:rPr>
          <w:rFonts w:ascii="宋体" w:hAnsi="宋体" w:eastAsia="宋体"/>
          <w:color w:val="auto"/>
          <w:highlight w:val="none"/>
          <w:lang w:eastAsia="zh-CN"/>
        </w:rPr>
        <w:t>指投标文件满足</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全部实质性要求</w:t>
      </w:r>
      <w:r>
        <w:rPr>
          <w:rFonts w:hint="eastAsia" w:ascii="宋体" w:hAnsi="宋体" w:eastAsia="宋体"/>
          <w:color w:val="auto"/>
          <w:highlight w:val="none"/>
          <w:lang w:eastAsia="zh-CN"/>
        </w:rPr>
        <w:t>，</w:t>
      </w:r>
      <w:r>
        <w:rPr>
          <w:rFonts w:ascii="宋体" w:hAnsi="宋体" w:eastAsia="宋体"/>
          <w:color w:val="auto"/>
          <w:highlight w:val="none"/>
          <w:lang w:eastAsia="zh-CN"/>
        </w:rPr>
        <w:t>且按照评审因素的</w:t>
      </w:r>
      <w:r>
        <w:rPr>
          <w:rFonts w:hint="eastAsia" w:ascii="宋体" w:hAnsi="宋体" w:eastAsia="宋体"/>
          <w:color w:val="auto"/>
          <w:highlight w:val="none"/>
          <w:lang w:eastAsia="zh-CN"/>
        </w:rPr>
        <w:t>量化</w:t>
      </w:r>
      <w:r>
        <w:rPr>
          <w:rFonts w:ascii="宋体" w:hAnsi="宋体" w:eastAsia="宋体"/>
          <w:color w:val="auto"/>
          <w:highlight w:val="none"/>
          <w:lang w:eastAsia="zh-CN"/>
        </w:rPr>
        <w:t>指标评审得分最高的</w:t>
      </w:r>
      <w:r>
        <w:rPr>
          <w:rFonts w:hint="eastAsia" w:ascii="宋体" w:hAnsi="宋体" w:eastAsia="宋体"/>
          <w:color w:val="auto"/>
          <w:highlight w:val="none"/>
          <w:lang w:eastAsia="zh-CN"/>
        </w:rPr>
        <w:t>投标人</w:t>
      </w:r>
      <w:r>
        <w:rPr>
          <w:rFonts w:ascii="宋体" w:hAnsi="宋体" w:eastAsia="宋体"/>
          <w:color w:val="auto"/>
          <w:highlight w:val="none"/>
          <w:lang w:eastAsia="zh-CN"/>
        </w:rPr>
        <w:t>为中标候选人的评标方法。</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23</w:t>
      </w:r>
      <w:r>
        <w:rPr>
          <w:rFonts w:ascii="宋体" w:hAnsi="宋体" w:eastAsia="宋体"/>
          <w:b/>
          <w:color w:val="auto"/>
          <w:highlight w:val="none"/>
          <w:lang w:eastAsia="zh-CN"/>
        </w:rPr>
        <w:t>.</w:t>
      </w:r>
      <w:r>
        <w:rPr>
          <w:rFonts w:hint="eastAsia" w:ascii="宋体" w:hAnsi="宋体" w:eastAsia="宋体"/>
          <w:b/>
          <w:color w:val="auto"/>
          <w:highlight w:val="none"/>
          <w:lang w:eastAsia="zh-CN"/>
        </w:rPr>
        <w:t>废标、重新遴选与变更采购方式</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23.1出现下列情形之一，将导致项目废标：</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（1）出现影响采购公正的违法、违规行为的；</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w:t>
      </w:r>
      <w:r>
        <w:rPr>
          <w:rFonts w:hint="eastAsia" w:ascii="宋体" w:hAnsi="宋体" w:eastAsia="宋体"/>
          <w:color w:val="auto"/>
          <w:highlight w:val="none"/>
          <w:lang w:val="en-US" w:eastAsia="zh-CN"/>
        </w:rPr>
        <w:t>2</w:t>
      </w:r>
      <w:r>
        <w:rPr>
          <w:rFonts w:hint="eastAsia" w:ascii="宋体" w:hAnsi="宋体" w:eastAsia="宋体"/>
          <w:color w:val="auto"/>
          <w:highlight w:val="none"/>
          <w:lang w:eastAsia="zh-CN"/>
        </w:rPr>
        <w:t>）因重大变故，采购任务取消的。</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23.2公开遴选数额标准以上的采购项目，投标截止后投标人不足3家或者通过资格审查或符合性审查的投标人不足3家的，除采购任务取消情形外，按照以下方式处理：</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（1）遴选文件存在不合理条款或者遴选程序不符合规定的，采购人、采购代理机构改正后依法重新遴选；</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（2）遴选文件没有不合理条款、遴选程序符合规定，需要采用其他采购方式采购的，采购人应当依法报政府采购监管部门批准。</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24</w:t>
      </w:r>
      <w:r>
        <w:rPr>
          <w:rFonts w:ascii="宋体" w:hAnsi="宋体" w:eastAsia="宋体"/>
          <w:b/>
          <w:color w:val="auto"/>
          <w:highlight w:val="none"/>
          <w:lang w:eastAsia="zh-CN"/>
        </w:rPr>
        <w:t>.</w:t>
      </w:r>
      <w:r>
        <w:rPr>
          <w:rFonts w:hint="eastAsia" w:ascii="宋体" w:hAnsi="宋体" w:eastAsia="宋体"/>
          <w:b/>
          <w:color w:val="auto"/>
          <w:highlight w:val="none"/>
          <w:lang w:eastAsia="zh-CN"/>
        </w:rPr>
        <w:t>保密要求</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24.1评标将在严格保密的情况下进行。</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24.2有关人员</w:t>
      </w:r>
      <w:r>
        <w:rPr>
          <w:rFonts w:ascii="宋体" w:hAnsi="宋体" w:eastAsia="宋体"/>
          <w:color w:val="auto"/>
          <w:highlight w:val="none"/>
          <w:lang w:eastAsia="zh-CN"/>
        </w:rPr>
        <w:t>应当</w:t>
      </w:r>
      <w:r>
        <w:rPr>
          <w:rFonts w:hint="eastAsia" w:ascii="宋体" w:hAnsi="宋体" w:eastAsia="宋体"/>
          <w:color w:val="auto"/>
          <w:highlight w:val="none"/>
          <w:lang w:eastAsia="zh-CN"/>
        </w:rPr>
        <w:t>遵</w:t>
      </w:r>
      <w:r>
        <w:rPr>
          <w:rFonts w:ascii="宋体" w:hAnsi="宋体" w:eastAsia="宋体"/>
          <w:color w:val="auto"/>
          <w:highlight w:val="none"/>
          <w:lang w:eastAsia="zh-CN"/>
        </w:rPr>
        <w:t>守评</w:t>
      </w:r>
      <w:r>
        <w:rPr>
          <w:rFonts w:hint="eastAsia" w:ascii="宋体" w:hAnsi="宋体" w:eastAsia="宋体"/>
          <w:color w:val="auto"/>
          <w:highlight w:val="none"/>
          <w:lang w:eastAsia="zh-CN"/>
        </w:rPr>
        <w:t>标</w:t>
      </w:r>
      <w:r>
        <w:rPr>
          <w:rFonts w:ascii="宋体" w:hAnsi="宋体" w:eastAsia="宋体"/>
          <w:color w:val="auto"/>
          <w:highlight w:val="none"/>
          <w:lang w:eastAsia="zh-CN"/>
        </w:rPr>
        <w:t>工作纪律，不得</w:t>
      </w:r>
      <w:r>
        <w:rPr>
          <w:rFonts w:hint="eastAsia" w:ascii="宋体" w:hAnsi="宋体" w:eastAsia="宋体"/>
          <w:color w:val="auto"/>
          <w:highlight w:val="none"/>
          <w:lang w:eastAsia="zh-CN"/>
        </w:rPr>
        <w:t>泄露</w:t>
      </w:r>
      <w:r>
        <w:rPr>
          <w:rFonts w:ascii="宋体" w:hAnsi="宋体" w:eastAsia="宋体"/>
          <w:color w:val="auto"/>
          <w:highlight w:val="none"/>
          <w:lang w:eastAsia="zh-CN"/>
        </w:rPr>
        <w:t>评</w:t>
      </w:r>
      <w:r>
        <w:rPr>
          <w:rFonts w:hint="eastAsia" w:ascii="宋体" w:hAnsi="宋体" w:eastAsia="宋体"/>
          <w:color w:val="auto"/>
          <w:highlight w:val="none"/>
          <w:lang w:eastAsia="zh-CN"/>
        </w:rPr>
        <w:t>标文件</w:t>
      </w:r>
      <w:r>
        <w:rPr>
          <w:rFonts w:ascii="宋体" w:hAnsi="宋体" w:eastAsia="宋体"/>
          <w:color w:val="auto"/>
          <w:highlight w:val="none"/>
          <w:lang w:eastAsia="zh-CN"/>
        </w:rPr>
        <w:t>、评</w:t>
      </w:r>
      <w:r>
        <w:rPr>
          <w:rFonts w:hint="eastAsia" w:ascii="宋体" w:hAnsi="宋体" w:eastAsia="宋体"/>
          <w:color w:val="auto"/>
          <w:highlight w:val="none"/>
          <w:lang w:eastAsia="zh-CN"/>
        </w:rPr>
        <w:t>标</w:t>
      </w:r>
      <w:r>
        <w:rPr>
          <w:rFonts w:ascii="宋体" w:hAnsi="宋体" w:eastAsia="宋体"/>
          <w:color w:val="auto"/>
          <w:highlight w:val="none"/>
          <w:lang w:eastAsia="zh-CN"/>
        </w:rPr>
        <w:t>情况和评</w:t>
      </w:r>
      <w:r>
        <w:rPr>
          <w:rFonts w:hint="eastAsia" w:ascii="宋体" w:hAnsi="宋体" w:eastAsia="宋体"/>
          <w:color w:val="auto"/>
          <w:highlight w:val="none"/>
          <w:lang w:eastAsia="zh-CN"/>
        </w:rPr>
        <w:t>标</w:t>
      </w:r>
      <w:r>
        <w:rPr>
          <w:rFonts w:ascii="宋体" w:hAnsi="宋体" w:eastAsia="宋体"/>
          <w:color w:val="auto"/>
          <w:highlight w:val="none"/>
          <w:lang w:eastAsia="zh-CN"/>
        </w:rPr>
        <w:t>中获悉的</w:t>
      </w:r>
      <w:r>
        <w:rPr>
          <w:rFonts w:hint="eastAsia" w:ascii="宋体" w:hAnsi="宋体" w:eastAsia="宋体"/>
          <w:color w:val="auto"/>
          <w:highlight w:val="none"/>
          <w:lang w:eastAsia="zh-CN"/>
        </w:rPr>
        <w:t>国家秘密、</w:t>
      </w:r>
      <w:r>
        <w:rPr>
          <w:rFonts w:ascii="宋体" w:hAnsi="宋体" w:eastAsia="宋体"/>
          <w:color w:val="auto"/>
          <w:highlight w:val="none"/>
          <w:lang w:eastAsia="zh-CN"/>
        </w:rPr>
        <w:t>商业秘密。</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25</w:t>
      </w:r>
      <w:r>
        <w:rPr>
          <w:rFonts w:ascii="宋体" w:hAnsi="宋体" w:eastAsia="宋体"/>
          <w:b/>
          <w:color w:val="auto"/>
          <w:highlight w:val="none"/>
          <w:lang w:eastAsia="zh-CN"/>
        </w:rPr>
        <w:t>.</w:t>
      </w:r>
      <w:r>
        <w:rPr>
          <w:rFonts w:hint="eastAsia" w:ascii="宋体" w:hAnsi="宋体" w:eastAsia="宋体"/>
          <w:b/>
          <w:color w:val="auto"/>
          <w:highlight w:val="none"/>
          <w:lang w:eastAsia="zh-CN"/>
        </w:rPr>
        <w:t>中标候选人的确定原则及标准</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2</w:t>
      </w:r>
      <w:r>
        <w:rPr>
          <w:rFonts w:hint="eastAsia" w:ascii="宋体" w:hAnsi="宋体" w:eastAsia="宋体"/>
          <w:color w:val="auto"/>
          <w:highlight w:val="none"/>
          <w:lang w:eastAsia="zh-CN"/>
        </w:rPr>
        <w:t>5</w:t>
      </w:r>
      <w:r>
        <w:rPr>
          <w:rFonts w:ascii="宋体" w:hAnsi="宋体" w:eastAsia="宋体"/>
          <w:color w:val="auto"/>
          <w:highlight w:val="none"/>
          <w:lang w:eastAsia="zh-CN"/>
        </w:rPr>
        <w:t>.1评</w:t>
      </w:r>
      <w:r>
        <w:rPr>
          <w:rFonts w:hint="eastAsia" w:ascii="宋体" w:hAnsi="宋体" w:eastAsia="宋体"/>
          <w:color w:val="auto"/>
          <w:highlight w:val="none"/>
          <w:lang w:eastAsia="zh-CN"/>
        </w:rPr>
        <w:t>标</w:t>
      </w:r>
      <w:r>
        <w:rPr>
          <w:rFonts w:ascii="宋体" w:hAnsi="宋体" w:eastAsia="宋体"/>
          <w:color w:val="auto"/>
          <w:highlight w:val="none"/>
          <w:lang w:eastAsia="zh-CN"/>
        </w:rPr>
        <w:t>委员会依据本项目</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所约定的评标方法，对实质上响应</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的投标人按下列方法进行排序</w:t>
      </w:r>
      <w:r>
        <w:rPr>
          <w:rFonts w:hint="eastAsia" w:ascii="宋体" w:hAnsi="宋体" w:eastAsia="宋体"/>
          <w:color w:val="auto"/>
          <w:highlight w:val="none"/>
          <w:lang w:eastAsia="zh-CN"/>
        </w:rPr>
        <w:t>，确定中标候选人</w:t>
      </w:r>
      <w:r>
        <w:rPr>
          <w:rFonts w:ascii="宋体" w:hAnsi="宋体" w:eastAsia="宋体"/>
          <w:color w:val="auto"/>
          <w:highlight w:val="none"/>
          <w:lang w:eastAsia="zh-CN"/>
        </w:rPr>
        <w:t>：</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w:t>
      </w:r>
      <w:r>
        <w:rPr>
          <w:rFonts w:ascii="宋体" w:hAnsi="宋体" w:eastAsia="宋体"/>
          <w:color w:val="auto"/>
          <w:highlight w:val="none"/>
          <w:lang w:eastAsia="zh-CN"/>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宋体" w:hAnsi="宋体" w:eastAsia="宋体"/>
          <w:color w:val="auto"/>
          <w:highlight w:val="none"/>
          <w:lang w:eastAsia="zh-CN"/>
        </w:rPr>
        <w:t>出现两家或两家以上相同者，采取评标委员会随机抽取的方式确定中标候选顺序。</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w:t>
      </w:r>
      <w:r>
        <w:rPr>
          <w:rFonts w:ascii="宋体" w:hAnsi="宋体" w:eastAsia="宋体"/>
          <w:color w:val="auto"/>
          <w:highlight w:val="none"/>
          <w:lang w:eastAsia="zh-CN"/>
        </w:rPr>
        <w:t>2）采用综合评分法的，评标结果按评审后得分由高到低顺序排列。</w:t>
      </w:r>
      <w:r>
        <w:rPr>
          <w:rFonts w:hint="eastAsia" w:ascii="宋体" w:hAnsi="宋体" w:eastAsia="宋体"/>
          <w:color w:val="auto"/>
          <w:highlight w:val="none"/>
          <w:lang w:eastAsia="zh-CN"/>
        </w:rPr>
        <w:t>得分相同的，则采取评标委员会随机抽取的方式确定中标候选顺序。</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26</w:t>
      </w:r>
      <w:r>
        <w:rPr>
          <w:rFonts w:ascii="宋体" w:hAnsi="宋体" w:eastAsia="宋体"/>
          <w:b/>
          <w:color w:val="auto"/>
          <w:highlight w:val="none"/>
          <w:lang w:eastAsia="zh-CN"/>
        </w:rPr>
        <w:t>.</w:t>
      </w:r>
      <w:r>
        <w:rPr>
          <w:rFonts w:hint="eastAsia" w:ascii="宋体" w:hAnsi="宋体" w:eastAsia="宋体"/>
          <w:b/>
          <w:color w:val="auto"/>
          <w:highlight w:val="none"/>
          <w:lang w:eastAsia="zh-CN"/>
        </w:rPr>
        <w:t>确定中标候选人和中标人</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2</w:t>
      </w:r>
      <w:r>
        <w:rPr>
          <w:rFonts w:hint="eastAsia" w:ascii="宋体" w:hAnsi="宋体" w:eastAsia="宋体"/>
          <w:color w:val="auto"/>
          <w:highlight w:val="none"/>
          <w:lang w:eastAsia="zh-CN"/>
        </w:rPr>
        <w:t>6</w:t>
      </w:r>
      <w:r>
        <w:rPr>
          <w:rFonts w:ascii="宋体" w:hAnsi="宋体" w:eastAsia="宋体"/>
          <w:color w:val="auto"/>
          <w:highlight w:val="none"/>
          <w:lang w:eastAsia="zh-CN"/>
        </w:rPr>
        <w:t>.1评标委员会将根据评标标准，按</w:t>
      </w:r>
      <w:r>
        <w:rPr>
          <w:rFonts w:ascii="宋体" w:hAnsi="宋体" w:eastAsia="宋体"/>
          <w:color w:val="auto"/>
          <w:highlight w:val="none"/>
          <w:u w:val="single"/>
          <w:lang w:eastAsia="zh-CN"/>
        </w:rPr>
        <w:t>投标</w:t>
      </w:r>
      <w:r>
        <w:rPr>
          <w:rFonts w:hint="eastAsia" w:ascii="宋体" w:hAnsi="宋体" w:eastAsia="宋体"/>
          <w:color w:val="auto"/>
          <w:highlight w:val="none"/>
          <w:u w:val="single"/>
          <w:lang w:eastAsia="zh-CN"/>
        </w:rPr>
        <w:t>人</w:t>
      </w:r>
      <w:r>
        <w:rPr>
          <w:rFonts w:ascii="宋体" w:hAnsi="宋体" w:eastAsia="宋体"/>
          <w:color w:val="auto"/>
          <w:highlight w:val="none"/>
          <w:u w:val="single"/>
          <w:lang w:eastAsia="zh-CN"/>
        </w:rPr>
        <w:t>须知前附表</w:t>
      </w:r>
      <w:r>
        <w:rPr>
          <w:rFonts w:ascii="宋体" w:hAnsi="宋体" w:eastAsia="宋体"/>
          <w:color w:val="auto"/>
          <w:highlight w:val="none"/>
          <w:lang w:eastAsia="zh-CN"/>
        </w:rPr>
        <w:t>中规定数量推荐中标候选人。</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26.2按</w:t>
      </w:r>
      <w:r>
        <w:rPr>
          <w:rFonts w:ascii="宋体" w:hAnsi="宋体" w:eastAsia="宋体"/>
          <w:color w:val="auto"/>
          <w:highlight w:val="none"/>
          <w:u w:val="single"/>
          <w:lang w:eastAsia="zh-CN"/>
        </w:rPr>
        <w:t>投标</w:t>
      </w:r>
      <w:r>
        <w:rPr>
          <w:rFonts w:hint="eastAsia" w:ascii="宋体" w:hAnsi="宋体" w:eastAsia="宋体"/>
          <w:color w:val="auto"/>
          <w:highlight w:val="none"/>
          <w:u w:val="single"/>
          <w:lang w:eastAsia="zh-CN"/>
        </w:rPr>
        <w:t>人</w:t>
      </w:r>
      <w:r>
        <w:rPr>
          <w:rFonts w:ascii="宋体" w:hAnsi="宋体" w:eastAsia="宋体"/>
          <w:color w:val="auto"/>
          <w:highlight w:val="none"/>
          <w:u w:val="single"/>
          <w:lang w:eastAsia="zh-CN"/>
        </w:rPr>
        <w:t>须知前附表</w:t>
      </w:r>
      <w:r>
        <w:rPr>
          <w:rFonts w:hint="eastAsia" w:ascii="宋体" w:hAnsi="宋体" w:eastAsia="宋体"/>
          <w:color w:val="auto"/>
          <w:highlight w:val="none"/>
          <w:lang w:eastAsia="zh-CN"/>
        </w:rPr>
        <w:t>中规定，</w:t>
      </w:r>
      <w:r>
        <w:rPr>
          <w:rFonts w:ascii="宋体" w:hAnsi="宋体" w:eastAsia="宋体"/>
          <w:color w:val="auto"/>
          <w:highlight w:val="none"/>
          <w:lang w:eastAsia="zh-CN"/>
        </w:rPr>
        <w:t>由评标委员会或采购人确定中标人。</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26</w:t>
      </w:r>
      <w:r>
        <w:rPr>
          <w:rFonts w:ascii="宋体" w:hAnsi="宋体" w:eastAsia="宋体"/>
          <w:color w:val="auto"/>
          <w:highlight w:val="none"/>
          <w:lang w:eastAsia="zh-CN"/>
        </w:rPr>
        <w:t>.3</w:t>
      </w:r>
      <w:r>
        <w:rPr>
          <w:rFonts w:hint="eastAsia" w:ascii="宋体" w:hAnsi="宋体" w:eastAsia="宋体"/>
          <w:color w:val="auto"/>
          <w:highlight w:val="none"/>
          <w:lang w:eastAsia="zh-CN"/>
        </w:rPr>
        <w:t>因重大变故采购任务取消时，采购人有权拒绝任何投标人中标，且对受影响的投标人不承担任何责任。</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27</w:t>
      </w:r>
      <w:r>
        <w:rPr>
          <w:rFonts w:ascii="宋体" w:hAnsi="宋体" w:eastAsia="宋体"/>
          <w:b/>
          <w:color w:val="auto"/>
          <w:highlight w:val="none"/>
          <w:lang w:eastAsia="zh-CN"/>
        </w:rPr>
        <w:t>.</w:t>
      </w:r>
      <w:r>
        <w:rPr>
          <w:rFonts w:hint="eastAsia" w:ascii="宋体" w:hAnsi="宋体" w:eastAsia="宋体"/>
          <w:b/>
          <w:color w:val="auto"/>
          <w:highlight w:val="none"/>
          <w:lang w:eastAsia="zh-CN"/>
        </w:rPr>
        <w:t>编写评标报告</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28</w:t>
      </w:r>
      <w:r>
        <w:rPr>
          <w:rFonts w:ascii="宋体" w:hAnsi="宋体" w:eastAsia="宋体"/>
          <w:b/>
          <w:color w:val="auto"/>
          <w:highlight w:val="none"/>
          <w:lang w:eastAsia="zh-CN"/>
        </w:rPr>
        <w:t>.</w:t>
      </w:r>
      <w:r>
        <w:rPr>
          <w:rFonts w:hint="eastAsia" w:ascii="宋体" w:hAnsi="宋体" w:eastAsia="宋体"/>
          <w:b/>
          <w:color w:val="auto"/>
          <w:highlight w:val="none"/>
          <w:lang w:eastAsia="zh-CN"/>
        </w:rPr>
        <w:t>中标结果公告</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28</w:t>
      </w:r>
      <w:r>
        <w:rPr>
          <w:rFonts w:ascii="宋体" w:hAnsi="宋体" w:eastAsia="宋体"/>
          <w:color w:val="auto"/>
          <w:highlight w:val="none"/>
          <w:lang w:eastAsia="zh-CN"/>
        </w:rPr>
        <w:t>.1</w:t>
      </w:r>
      <w:r>
        <w:rPr>
          <w:rFonts w:hint="eastAsia" w:ascii="宋体" w:hAnsi="宋体" w:eastAsia="宋体"/>
          <w:color w:val="auto"/>
          <w:highlight w:val="none"/>
          <w:lang w:eastAsia="zh-CN"/>
        </w:rPr>
        <w:t>除</w:t>
      </w:r>
      <w:r>
        <w:rPr>
          <w:rFonts w:ascii="宋体" w:hAnsi="宋体" w:eastAsia="宋体"/>
          <w:color w:val="auto"/>
          <w:highlight w:val="none"/>
          <w:u w:val="single"/>
          <w:lang w:eastAsia="zh-CN"/>
        </w:rPr>
        <w:t>投标</w:t>
      </w:r>
      <w:r>
        <w:rPr>
          <w:rFonts w:hint="eastAsia" w:ascii="宋体" w:hAnsi="宋体" w:eastAsia="宋体"/>
          <w:color w:val="auto"/>
          <w:highlight w:val="none"/>
          <w:u w:val="single"/>
          <w:lang w:eastAsia="zh-CN"/>
        </w:rPr>
        <w:t>人</w:t>
      </w:r>
      <w:r>
        <w:rPr>
          <w:rFonts w:ascii="宋体" w:hAnsi="宋体" w:eastAsia="宋体"/>
          <w:color w:val="auto"/>
          <w:highlight w:val="none"/>
          <w:u w:val="single"/>
          <w:lang w:eastAsia="zh-CN"/>
        </w:rPr>
        <w:t>须知前附表</w:t>
      </w:r>
      <w:r>
        <w:rPr>
          <w:rFonts w:ascii="宋体" w:hAnsi="宋体" w:eastAsia="宋体"/>
          <w:color w:val="auto"/>
          <w:highlight w:val="none"/>
          <w:lang w:eastAsia="zh-CN"/>
        </w:rPr>
        <w:t>规定由评标委员会直接确定中标</w:t>
      </w:r>
      <w:r>
        <w:rPr>
          <w:rFonts w:hint="eastAsia" w:ascii="宋体" w:hAnsi="宋体" w:eastAsia="宋体"/>
          <w:color w:val="auto"/>
          <w:highlight w:val="none"/>
          <w:lang w:eastAsia="zh-CN"/>
        </w:rPr>
        <w:t>人外，</w:t>
      </w:r>
      <w:r>
        <w:rPr>
          <w:rFonts w:ascii="宋体" w:hAnsi="宋体" w:eastAsia="宋体"/>
          <w:color w:val="auto"/>
          <w:highlight w:val="none"/>
          <w:lang w:eastAsia="zh-CN"/>
        </w:rPr>
        <w:t>在评标结束后2个工作日内</w:t>
      </w:r>
      <w:r>
        <w:rPr>
          <w:rFonts w:hint="eastAsia" w:ascii="宋体" w:hAnsi="宋体" w:eastAsia="宋体"/>
          <w:color w:val="auto"/>
          <w:highlight w:val="none"/>
          <w:lang w:eastAsia="zh-CN"/>
        </w:rPr>
        <w:t>，</w:t>
      </w:r>
      <w:r>
        <w:rPr>
          <w:rFonts w:ascii="宋体" w:hAnsi="宋体" w:eastAsia="宋体"/>
          <w:color w:val="auto"/>
          <w:highlight w:val="none"/>
          <w:lang w:eastAsia="zh-CN"/>
        </w:rPr>
        <w:t>采购代理机构将评标报告送采购人。采购人应当自收到评标报告之日起</w:t>
      </w:r>
      <w:r>
        <w:rPr>
          <w:rFonts w:hint="eastAsia" w:ascii="宋体" w:hAnsi="宋体" w:eastAsia="宋体"/>
          <w:color w:val="auto"/>
          <w:highlight w:val="none"/>
          <w:lang w:eastAsia="zh-CN"/>
        </w:rPr>
        <w:t>5</w:t>
      </w:r>
      <w:r>
        <w:rPr>
          <w:rFonts w:ascii="宋体" w:hAnsi="宋体" w:eastAsia="宋体"/>
          <w:color w:val="auto"/>
          <w:highlight w:val="none"/>
          <w:lang w:eastAsia="zh-CN"/>
        </w:rPr>
        <w:t>个工作日内，在评标报告确定的中标候选人名单中按顺序确定中标人。中标候选人并列的，由采购人或者采购人委托评标委员会按照</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规定的方式确定中标人；</w:t>
      </w:r>
      <w:r>
        <w:rPr>
          <w:rFonts w:hint="eastAsia" w:ascii="宋体" w:hAnsi="宋体" w:eastAsia="宋体"/>
          <w:color w:val="auto"/>
          <w:highlight w:val="none"/>
          <w:lang w:eastAsia="zh-CN"/>
        </w:rPr>
        <w:t>遴选文件</w:t>
      </w:r>
      <w:r>
        <w:rPr>
          <w:rFonts w:ascii="宋体" w:hAnsi="宋体" w:eastAsia="宋体"/>
          <w:color w:val="auto"/>
          <w:highlight w:val="none"/>
          <w:lang w:eastAsia="zh-CN"/>
        </w:rPr>
        <w:t>未规定的，采取随机抽取的方式确定。</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28</w:t>
      </w:r>
      <w:r>
        <w:rPr>
          <w:rFonts w:ascii="宋体" w:hAnsi="宋体" w:eastAsia="宋体"/>
          <w:color w:val="auto"/>
          <w:highlight w:val="none"/>
          <w:lang w:eastAsia="zh-CN"/>
        </w:rPr>
        <w:t>.2</w:t>
      </w:r>
      <w:r>
        <w:rPr>
          <w:rFonts w:hint="eastAsia" w:ascii="宋体" w:hAnsi="宋体" w:eastAsia="宋体"/>
          <w:color w:val="auto"/>
          <w:highlight w:val="none"/>
          <w:lang w:eastAsia="zh-CN"/>
        </w:rPr>
        <w:t>自中标人确定之日起2个工作日内，采购代理机构将发布中标结果公告。</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28.3</w:t>
      </w:r>
      <w:r>
        <w:rPr>
          <w:rFonts w:ascii="宋体" w:hAnsi="宋体" w:eastAsia="宋体"/>
          <w:color w:val="auto"/>
          <w:highlight w:val="none"/>
          <w:lang w:eastAsia="zh-CN"/>
        </w:rPr>
        <w:t>中标结果公告内容应当包括采购人及其委托的采购代理机构的名称、地址、联系方式，项目名称和项目编号，中标人名称、地址和中标金额，</w:t>
      </w:r>
      <w:r>
        <w:rPr>
          <w:rFonts w:asciiTheme="minorEastAsia" w:hAnsiTheme="minorEastAsia" w:eastAsiaTheme="minorEastAsia"/>
          <w:color w:val="auto"/>
          <w:highlight w:val="none"/>
          <w:lang w:eastAsia="zh-CN"/>
        </w:rPr>
        <w:t>主要中标标的的名称、规格型号、数量、单价、服务要求，</w:t>
      </w:r>
      <w:r>
        <w:rPr>
          <w:rFonts w:ascii="宋体" w:hAnsi="宋体" w:eastAsia="宋体"/>
          <w:color w:val="auto"/>
          <w:highlight w:val="none"/>
          <w:lang w:eastAsia="zh-CN"/>
        </w:rPr>
        <w:t>中标公告期限、评审专家名单以及</w:t>
      </w:r>
      <w:r>
        <w:rPr>
          <w:rFonts w:hint="eastAsia" w:ascii="宋体" w:hAnsi="宋体" w:eastAsia="宋体"/>
          <w:color w:val="auto"/>
          <w:highlight w:val="none"/>
          <w:u w:val="single"/>
          <w:lang w:eastAsia="zh-CN"/>
        </w:rPr>
        <w:t>投标人须知前附表</w:t>
      </w:r>
      <w:r>
        <w:rPr>
          <w:rFonts w:ascii="宋体" w:hAnsi="宋体" w:eastAsia="宋体"/>
          <w:color w:val="auto"/>
          <w:highlight w:val="none"/>
          <w:lang w:eastAsia="zh-CN"/>
        </w:rPr>
        <w:t>中约定进行公告的内容。中标公告期限为1个工作日。</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29</w:t>
      </w:r>
      <w:r>
        <w:rPr>
          <w:rFonts w:ascii="宋体" w:hAnsi="宋体" w:eastAsia="宋体"/>
          <w:b/>
          <w:color w:val="auto"/>
          <w:highlight w:val="none"/>
          <w:lang w:eastAsia="zh-CN"/>
        </w:rPr>
        <w:t>.</w:t>
      </w:r>
      <w:r>
        <w:rPr>
          <w:rFonts w:hint="eastAsia" w:ascii="宋体" w:hAnsi="宋体" w:eastAsia="宋体"/>
          <w:b/>
          <w:color w:val="auto"/>
          <w:highlight w:val="none"/>
          <w:lang w:eastAsia="zh-CN"/>
        </w:rPr>
        <w:t>中标通知书</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2</w:t>
      </w:r>
      <w:r>
        <w:rPr>
          <w:rFonts w:hint="eastAsia" w:ascii="宋体" w:hAnsi="宋体" w:eastAsia="宋体"/>
          <w:color w:val="auto"/>
          <w:highlight w:val="none"/>
          <w:lang w:eastAsia="zh-CN"/>
        </w:rPr>
        <w:t>9</w:t>
      </w:r>
      <w:r>
        <w:rPr>
          <w:rFonts w:ascii="宋体" w:hAnsi="宋体" w:eastAsia="宋体"/>
          <w:color w:val="auto"/>
          <w:highlight w:val="none"/>
          <w:lang w:eastAsia="zh-CN"/>
        </w:rPr>
        <w:t>.1</w:t>
      </w:r>
      <w:r>
        <w:rPr>
          <w:rFonts w:hint="eastAsia" w:ascii="宋体" w:hAnsi="宋体" w:eastAsia="宋体"/>
          <w:color w:val="auto"/>
          <w:highlight w:val="none"/>
          <w:shd w:val="clear" w:color="auto" w:fill="FFFFFF"/>
          <w:lang w:eastAsia="zh-CN"/>
        </w:rPr>
        <w:t>采购人或采购代理机构</w:t>
      </w:r>
      <w:r>
        <w:rPr>
          <w:rFonts w:ascii="宋体" w:hAnsi="宋体" w:eastAsia="宋体"/>
          <w:color w:val="auto"/>
          <w:highlight w:val="none"/>
          <w:lang w:eastAsia="zh-CN"/>
        </w:rPr>
        <w:t>发布中标结果公告</w:t>
      </w:r>
      <w:r>
        <w:rPr>
          <w:rFonts w:hint="eastAsia" w:ascii="宋体" w:hAnsi="宋体" w:eastAsia="宋体"/>
          <w:iCs/>
          <w:color w:val="auto"/>
          <w:highlight w:val="none"/>
          <w:lang w:eastAsia="zh-CN"/>
        </w:rPr>
        <w:t>的</w:t>
      </w:r>
      <w:r>
        <w:rPr>
          <w:rFonts w:ascii="宋体" w:hAnsi="宋体" w:eastAsia="宋体"/>
          <w:color w:val="auto"/>
          <w:highlight w:val="none"/>
          <w:lang w:eastAsia="zh-CN"/>
        </w:rPr>
        <w:t>同时以</w:t>
      </w:r>
      <w:r>
        <w:rPr>
          <w:rFonts w:hint="eastAsia" w:ascii="宋体" w:hAnsi="宋体" w:eastAsia="宋体"/>
          <w:color w:val="auto"/>
          <w:highlight w:val="none"/>
          <w:u w:val="single"/>
          <w:lang w:eastAsia="zh-CN"/>
        </w:rPr>
        <w:t>投标人须知前附表</w:t>
      </w:r>
      <w:r>
        <w:rPr>
          <w:rFonts w:hint="eastAsia" w:ascii="宋体" w:hAnsi="宋体" w:eastAsia="宋体"/>
          <w:color w:val="auto"/>
          <w:highlight w:val="none"/>
          <w:lang w:eastAsia="zh-CN"/>
        </w:rPr>
        <w:t>规定的</w:t>
      </w:r>
      <w:r>
        <w:rPr>
          <w:rFonts w:ascii="宋体" w:hAnsi="宋体" w:eastAsia="宋体"/>
          <w:color w:val="auto"/>
          <w:highlight w:val="none"/>
          <w:lang w:eastAsia="zh-CN"/>
        </w:rPr>
        <w:t>形式向中标人发出中标通知书。</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2</w:t>
      </w:r>
      <w:r>
        <w:rPr>
          <w:rFonts w:hint="eastAsia" w:ascii="宋体" w:hAnsi="宋体" w:eastAsia="宋体"/>
          <w:color w:val="auto"/>
          <w:highlight w:val="none"/>
          <w:lang w:eastAsia="zh-CN"/>
        </w:rPr>
        <w:t>9</w:t>
      </w:r>
      <w:r>
        <w:rPr>
          <w:rFonts w:ascii="宋体" w:hAnsi="宋体" w:eastAsia="宋体"/>
          <w:color w:val="auto"/>
          <w:highlight w:val="none"/>
          <w:lang w:eastAsia="zh-CN"/>
        </w:rPr>
        <w:t>.2中标通知书对采购人和中标</w:t>
      </w:r>
      <w:r>
        <w:rPr>
          <w:rFonts w:hint="eastAsia" w:ascii="宋体" w:hAnsi="宋体" w:eastAsia="宋体"/>
          <w:color w:val="auto"/>
          <w:highlight w:val="none"/>
          <w:lang w:eastAsia="zh-CN"/>
        </w:rPr>
        <w:t>人</w:t>
      </w:r>
      <w:r>
        <w:rPr>
          <w:rFonts w:ascii="宋体" w:hAnsi="宋体" w:eastAsia="宋体"/>
          <w:color w:val="auto"/>
          <w:highlight w:val="none"/>
          <w:lang w:eastAsia="zh-CN"/>
        </w:rPr>
        <w:t>具有同等法律效力。中标通知书发出以后，采购人改变中标结果或者中标</w:t>
      </w:r>
      <w:r>
        <w:rPr>
          <w:rFonts w:hint="eastAsia" w:ascii="宋体" w:hAnsi="宋体" w:eastAsia="宋体"/>
          <w:color w:val="auto"/>
          <w:highlight w:val="none"/>
          <w:lang w:eastAsia="zh-CN"/>
        </w:rPr>
        <w:t>人</w:t>
      </w:r>
      <w:r>
        <w:rPr>
          <w:rFonts w:ascii="宋体" w:hAnsi="宋体" w:eastAsia="宋体"/>
          <w:color w:val="auto"/>
          <w:highlight w:val="none"/>
          <w:lang w:eastAsia="zh-CN"/>
        </w:rPr>
        <w:t>放弃中标，应当承担相应的法律责任。</w:t>
      </w:r>
    </w:p>
    <w:p>
      <w:pPr>
        <w:adjustRightInd w:val="0"/>
        <w:snapToGrid w:val="0"/>
        <w:spacing w:line="360" w:lineRule="auto"/>
        <w:ind w:firstLine="480" w:firstLineChars="200"/>
        <w:rPr>
          <w:rFonts w:hint="eastAsia" w:ascii="宋体" w:hAnsi="宋体" w:eastAsia="宋体"/>
          <w:color w:val="auto"/>
          <w:highlight w:val="none"/>
          <w:lang w:eastAsia="zh-CN"/>
        </w:rPr>
      </w:pPr>
      <w:r>
        <w:rPr>
          <w:rFonts w:ascii="宋体" w:hAnsi="宋体" w:eastAsia="宋体"/>
          <w:color w:val="auto"/>
          <w:highlight w:val="none"/>
          <w:lang w:eastAsia="zh-CN"/>
        </w:rPr>
        <w:t>2</w:t>
      </w:r>
      <w:r>
        <w:rPr>
          <w:rFonts w:hint="eastAsia" w:ascii="宋体" w:hAnsi="宋体" w:eastAsia="宋体"/>
          <w:color w:val="auto"/>
          <w:highlight w:val="none"/>
          <w:lang w:eastAsia="zh-CN"/>
        </w:rPr>
        <w:t>9</w:t>
      </w:r>
      <w:r>
        <w:rPr>
          <w:rFonts w:ascii="宋体" w:hAnsi="宋体" w:eastAsia="宋体"/>
          <w:color w:val="auto"/>
          <w:highlight w:val="none"/>
          <w:lang w:eastAsia="zh-CN"/>
        </w:rPr>
        <w:t>.3中标通知书是合同的组成部分。</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30</w:t>
      </w:r>
      <w:r>
        <w:rPr>
          <w:rFonts w:ascii="宋体" w:hAnsi="宋体" w:eastAsia="宋体"/>
          <w:b/>
          <w:color w:val="auto"/>
          <w:highlight w:val="none"/>
          <w:lang w:eastAsia="zh-CN"/>
        </w:rPr>
        <w:t>.</w:t>
      </w:r>
      <w:r>
        <w:rPr>
          <w:rFonts w:hint="eastAsia" w:ascii="宋体" w:hAnsi="宋体" w:eastAsia="宋体"/>
          <w:b/>
          <w:color w:val="auto"/>
          <w:highlight w:val="none"/>
          <w:lang w:eastAsia="zh-CN"/>
        </w:rPr>
        <w:t>告知遴选结果</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30</w:t>
      </w:r>
      <w:r>
        <w:rPr>
          <w:rFonts w:ascii="宋体" w:hAnsi="宋体" w:eastAsia="宋体"/>
          <w:color w:val="auto"/>
          <w:highlight w:val="none"/>
          <w:lang w:eastAsia="zh-CN"/>
        </w:rPr>
        <w:t>.1</w:t>
      </w:r>
      <w:r>
        <w:rPr>
          <w:rFonts w:hint="eastAsia" w:ascii="宋体" w:hAnsi="宋体" w:eastAsia="宋体"/>
          <w:color w:val="auto"/>
          <w:highlight w:val="none"/>
          <w:shd w:val="clear" w:color="auto" w:fill="FFFFFF"/>
          <w:lang w:eastAsia="zh-CN"/>
        </w:rPr>
        <w:t>采购人或者采购代理机构</w:t>
      </w:r>
      <w:r>
        <w:rPr>
          <w:rFonts w:ascii="宋体" w:hAnsi="宋体" w:eastAsia="宋体"/>
          <w:color w:val="auto"/>
          <w:highlight w:val="none"/>
          <w:lang w:eastAsia="zh-CN"/>
        </w:rPr>
        <w:t>以</w:t>
      </w:r>
      <w:r>
        <w:rPr>
          <w:rFonts w:hint="eastAsia" w:ascii="宋体" w:hAnsi="宋体" w:eastAsia="宋体"/>
          <w:color w:val="auto"/>
          <w:highlight w:val="none"/>
          <w:u w:val="single"/>
          <w:lang w:eastAsia="zh-CN"/>
        </w:rPr>
        <w:t>投标人须知前附表</w:t>
      </w:r>
      <w:r>
        <w:rPr>
          <w:rFonts w:hint="eastAsia" w:ascii="宋体" w:hAnsi="宋体" w:eastAsia="宋体"/>
          <w:color w:val="auto"/>
          <w:highlight w:val="none"/>
          <w:lang w:eastAsia="zh-CN"/>
        </w:rPr>
        <w:t>规定的</w:t>
      </w:r>
      <w:r>
        <w:rPr>
          <w:rFonts w:ascii="宋体" w:hAnsi="宋体" w:eastAsia="宋体"/>
          <w:color w:val="auto"/>
          <w:highlight w:val="none"/>
          <w:lang w:eastAsia="zh-CN"/>
        </w:rPr>
        <w:t>形式</w:t>
      </w:r>
      <w:r>
        <w:rPr>
          <w:rFonts w:hint="eastAsia" w:ascii="宋体" w:hAnsi="宋体" w:eastAsia="宋体"/>
          <w:color w:val="auto"/>
          <w:highlight w:val="none"/>
          <w:lang w:eastAsia="zh-CN"/>
        </w:rPr>
        <w:t>告知未通过资格审查的投标人未通过的原因；采用综合评分法评审的，还将告知未中标人本人的评审得分和排序。</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31</w:t>
      </w:r>
      <w:r>
        <w:rPr>
          <w:rFonts w:ascii="宋体" w:hAnsi="宋体" w:eastAsia="宋体"/>
          <w:b/>
          <w:color w:val="auto"/>
          <w:highlight w:val="none"/>
          <w:lang w:eastAsia="zh-CN"/>
        </w:rPr>
        <w:t>.</w:t>
      </w:r>
      <w:r>
        <w:rPr>
          <w:rFonts w:hint="eastAsia" w:ascii="宋体" w:hAnsi="宋体" w:eastAsia="宋体"/>
          <w:b/>
          <w:color w:val="auto"/>
          <w:highlight w:val="none"/>
          <w:lang w:eastAsia="zh-CN"/>
        </w:rPr>
        <w:t>履约保证金</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31.1中标人应按照</w:t>
      </w:r>
      <w:r>
        <w:rPr>
          <w:rFonts w:hint="eastAsia" w:ascii="宋体" w:hAnsi="宋体" w:eastAsia="宋体"/>
          <w:color w:val="auto"/>
          <w:highlight w:val="none"/>
          <w:u w:val="single"/>
          <w:lang w:eastAsia="zh-CN"/>
        </w:rPr>
        <w:t>投标人须知前附表</w:t>
      </w:r>
      <w:r>
        <w:rPr>
          <w:rFonts w:hint="eastAsia" w:ascii="宋体" w:hAnsi="宋体" w:eastAsia="宋体"/>
          <w:color w:val="auto"/>
          <w:highlight w:val="none"/>
          <w:lang w:eastAsia="zh-CN"/>
        </w:rPr>
        <w:t>规定缴纳履约保证金。</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31.2如果中标人没有按照上述履约保证金的规定执行，将视为放弃中标资格。在此情况下，采购人可确定下一中标候选人为中标人，也可以重新开展采购活动。</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32</w:t>
      </w:r>
      <w:r>
        <w:rPr>
          <w:rFonts w:ascii="宋体" w:hAnsi="宋体" w:eastAsia="宋体"/>
          <w:b/>
          <w:color w:val="auto"/>
          <w:highlight w:val="none"/>
          <w:lang w:eastAsia="zh-CN"/>
        </w:rPr>
        <w:t>.</w:t>
      </w:r>
      <w:r>
        <w:rPr>
          <w:rFonts w:hint="eastAsia" w:ascii="宋体" w:hAnsi="宋体" w:eastAsia="宋体"/>
          <w:b/>
          <w:color w:val="auto"/>
          <w:highlight w:val="none"/>
          <w:lang w:eastAsia="zh-CN"/>
        </w:rPr>
        <w:t>代理费用</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32.1本项目代理费用的收取按</w:t>
      </w:r>
      <w:r>
        <w:rPr>
          <w:rFonts w:hint="eastAsia" w:ascii="宋体" w:hAnsi="宋体" w:eastAsia="宋体"/>
          <w:color w:val="auto"/>
          <w:highlight w:val="none"/>
          <w:u w:val="single"/>
          <w:lang w:eastAsia="zh-CN"/>
        </w:rPr>
        <w:t>投标人须知前附表的</w:t>
      </w:r>
      <w:r>
        <w:rPr>
          <w:rFonts w:hint="eastAsia" w:ascii="宋体" w:hAnsi="宋体" w:eastAsia="宋体"/>
          <w:color w:val="auto"/>
          <w:highlight w:val="none"/>
          <w:lang w:eastAsia="zh-CN"/>
        </w:rPr>
        <w:t>规定执行。</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33</w:t>
      </w:r>
      <w:r>
        <w:rPr>
          <w:rFonts w:ascii="宋体" w:hAnsi="宋体" w:eastAsia="宋体"/>
          <w:b/>
          <w:color w:val="auto"/>
          <w:highlight w:val="none"/>
          <w:lang w:eastAsia="zh-CN"/>
        </w:rPr>
        <w:t>.</w:t>
      </w:r>
      <w:r>
        <w:rPr>
          <w:rFonts w:hint="eastAsia" w:ascii="宋体" w:hAnsi="宋体" w:eastAsia="宋体"/>
          <w:b/>
          <w:color w:val="auto"/>
          <w:highlight w:val="none"/>
          <w:lang w:eastAsia="zh-CN"/>
        </w:rPr>
        <w:t>签订合同</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33.1采购人与中标人应当按照</w:t>
      </w:r>
      <w:r>
        <w:rPr>
          <w:rFonts w:hint="eastAsia" w:ascii="宋体" w:hAnsi="宋体" w:eastAsia="宋体"/>
          <w:color w:val="auto"/>
          <w:highlight w:val="none"/>
          <w:u w:val="single"/>
          <w:lang w:eastAsia="zh-CN"/>
        </w:rPr>
        <w:t>投标人须知前附表</w:t>
      </w:r>
      <w:r>
        <w:rPr>
          <w:rFonts w:hint="eastAsia" w:ascii="宋体" w:hAnsi="宋体" w:eastAsia="宋体"/>
          <w:color w:val="auto"/>
          <w:highlight w:val="none"/>
          <w:lang w:eastAsia="zh-CN"/>
        </w:rPr>
        <w:t>规定的时间内完成政府采购合同签订。</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33.2遴选文件、中标人的投标文件及其澄清文件等，均为签订合同的依据。</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33.3中</w:t>
      </w:r>
      <w:r>
        <w:rPr>
          <w:rFonts w:ascii="宋体" w:hAnsi="宋体" w:eastAsia="宋体"/>
          <w:color w:val="auto"/>
          <w:highlight w:val="none"/>
          <w:lang w:eastAsia="zh-CN"/>
        </w:rPr>
        <w:t>标</w:t>
      </w:r>
      <w:r>
        <w:rPr>
          <w:rFonts w:hint="eastAsia" w:ascii="宋体" w:hAnsi="宋体" w:eastAsia="宋体"/>
          <w:color w:val="auto"/>
          <w:highlight w:val="none"/>
          <w:lang w:eastAsia="zh-CN"/>
        </w:rPr>
        <w:t>人</w:t>
      </w:r>
      <w:r>
        <w:rPr>
          <w:rFonts w:ascii="宋体" w:hAnsi="宋体" w:eastAsia="宋体"/>
          <w:color w:val="auto"/>
          <w:highlight w:val="none"/>
          <w:lang w:eastAsia="zh-CN"/>
        </w:rPr>
        <w:t>拒绝与采购人签订合同的，采购人可以按照评审报告推荐的中标候选人</w:t>
      </w:r>
      <w:r>
        <w:rPr>
          <w:rFonts w:hint="eastAsia" w:ascii="宋体" w:hAnsi="宋体" w:eastAsia="宋体"/>
          <w:color w:val="auto"/>
          <w:highlight w:val="none"/>
          <w:lang w:eastAsia="zh-CN"/>
        </w:rPr>
        <w:t>名单</w:t>
      </w:r>
      <w:r>
        <w:rPr>
          <w:rFonts w:ascii="宋体" w:hAnsi="宋体" w:eastAsia="宋体"/>
          <w:color w:val="auto"/>
          <w:highlight w:val="none"/>
          <w:lang w:eastAsia="zh-CN"/>
        </w:rPr>
        <w:t>排序</w:t>
      </w:r>
      <w:r>
        <w:rPr>
          <w:rFonts w:hint="eastAsia" w:ascii="宋体" w:hAnsi="宋体" w:eastAsia="宋体"/>
          <w:color w:val="auto"/>
          <w:highlight w:val="none"/>
          <w:lang w:eastAsia="zh-CN"/>
        </w:rPr>
        <w:t>，</w:t>
      </w:r>
      <w:r>
        <w:rPr>
          <w:rFonts w:ascii="宋体" w:hAnsi="宋体" w:eastAsia="宋体"/>
          <w:color w:val="auto"/>
          <w:highlight w:val="none"/>
          <w:lang w:eastAsia="zh-CN"/>
        </w:rPr>
        <w:t>确定下一</w:t>
      </w:r>
      <w:r>
        <w:rPr>
          <w:rFonts w:hint="eastAsia" w:ascii="宋体" w:hAnsi="宋体" w:eastAsia="宋体"/>
          <w:color w:val="auto"/>
          <w:highlight w:val="none"/>
          <w:lang w:eastAsia="zh-CN"/>
        </w:rPr>
        <w:t>中标候选</w:t>
      </w:r>
      <w:r>
        <w:rPr>
          <w:rFonts w:ascii="宋体" w:hAnsi="宋体" w:eastAsia="宋体"/>
          <w:color w:val="auto"/>
          <w:highlight w:val="none"/>
          <w:lang w:eastAsia="zh-CN"/>
        </w:rPr>
        <w:t>人为中标</w:t>
      </w:r>
      <w:r>
        <w:rPr>
          <w:rFonts w:hint="eastAsia" w:ascii="宋体" w:hAnsi="宋体" w:eastAsia="宋体"/>
          <w:color w:val="auto"/>
          <w:highlight w:val="none"/>
          <w:lang w:eastAsia="zh-CN"/>
        </w:rPr>
        <w:t>人</w:t>
      </w:r>
      <w:r>
        <w:rPr>
          <w:rFonts w:ascii="宋体" w:hAnsi="宋体" w:eastAsia="宋体"/>
          <w:color w:val="auto"/>
          <w:highlight w:val="none"/>
          <w:lang w:eastAsia="zh-CN"/>
        </w:rPr>
        <w:t>，也可以重新开展政府采购活动。</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33.4依据《政府采购促进中小企业发展管理办法》（财库〔</w:t>
      </w:r>
      <w:r>
        <w:rPr>
          <w:rFonts w:ascii="宋体" w:hAnsi="宋体" w:eastAsia="宋体"/>
          <w:color w:val="auto"/>
          <w:highlight w:val="none"/>
          <w:lang w:eastAsia="zh-CN"/>
        </w:rPr>
        <w:t>2020〕46号</w:t>
      </w:r>
      <w:r>
        <w:rPr>
          <w:rFonts w:hint="eastAsia" w:ascii="宋体" w:hAnsi="宋体" w:eastAsia="宋体"/>
          <w:color w:val="auto"/>
          <w:highlight w:val="none"/>
          <w:lang w:eastAsia="zh-CN"/>
        </w:rPr>
        <w:t>）规定享受扶持政策获得政府采购合同的，小微企业不得将合同分包给大中型企业，中型企业不得将合同分包给大型企业。</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bookmarkStart w:id="10" w:name="_Toc518923100"/>
      <w:bookmarkStart w:id="11" w:name="_Toc2583661"/>
      <w:r>
        <w:rPr>
          <w:rFonts w:hint="eastAsia" w:ascii="宋体" w:hAnsi="宋体" w:eastAsia="宋体"/>
          <w:b/>
          <w:color w:val="auto"/>
          <w:highlight w:val="none"/>
          <w:lang w:eastAsia="zh-CN"/>
        </w:rPr>
        <w:t>34.廉洁自律</w:t>
      </w:r>
      <w:r>
        <w:rPr>
          <w:rFonts w:ascii="宋体" w:hAnsi="宋体" w:eastAsia="宋体"/>
          <w:b/>
          <w:color w:val="auto"/>
          <w:highlight w:val="none"/>
          <w:lang w:eastAsia="zh-CN"/>
        </w:rPr>
        <w:t>规定</w:t>
      </w:r>
      <w:bookmarkEnd w:id="10"/>
      <w:bookmarkEnd w:id="11"/>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34.1采购代理机构</w:t>
      </w:r>
      <w:r>
        <w:rPr>
          <w:rFonts w:ascii="宋体" w:hAnsi="宋体" w:eastAsia="宋体"/>
          <w:color w:val="auto"/>
          <w:highlight w:val="none"/>
          <w:lang w:eastAsia="zh-CN"/>
        </w:rPr>
        <w:t>工作人员</w:t>
      </w:r>
      <w:r>
        <w:rPr>
          <w:rFonts w:hint="eastAsia" w:ascii="宋体" w:hAnsi="宋体" w:eastAsia="宋体"/>
          <w:color w:val="auto"/>
          <w:highlight w:val="none"/>
          <w:lang w:eastAsia="zh-CN"/>
        </w:rPr>
        <w:t>不得以不正当手段获取政府采购代理业务，不得与采购人、供应商恶意串通。</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34.</w:t>
      </w:r>
      <w:r>
        <w:rPr>
          <w:rFonts w:ascii="宋体" w:hAnsi="宋体" w:eastAsia="宋体"/>
          <w:color w:val="auto"/>
          <w:highlight w:val="none"/>
          <w:lang w:eastAsia="zh-CN"/>
        </w:rPr>
        <w:t>2</w:t>
      </w:r>
      <w:r>
        <w:rPr>
          <w:rFonts w:hint="eastAsia" w:ascii="宋体" w:hAnsi="宋体" w:eastAsia="宋体"/>
          <w:color w:val="auto"/>
          <w:highlight w:val="none"/>
          <w:lang w:eastAsia="zh-CN"/>
        </w:rPr>
        <w:t>采购代理机构工作人员不得接受采购人或者供应商组织的宴请、旅游、娱乐，不得收受礼品、现金、有价证券等，不得向采购人或者供应商报销应当由个人承担的费用。</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bookmarkStart w:id="12" w:name="_Toc2583662"/>
      <w:bookmarkStart w:id="13" w:name="_Toc518923101"/>
      <w:r>
        <w:rPr>
          <w:rFonts w:hint="eastAsia" w:ascii="宋体" w:hAnsi="宋体" w:eastAsia="宋体"/>
          <w:b/>
          <w:color w:val="auto"/>
          <w:highlight w:val="none"/>
          <w:lang w:eastAsia="zh-CN"/>
        </w:rPr>
        <w:t>35.人员回避</w:t>
      </w:r>
      <w:bookmarkEnd w:id="12"/>
      <w:bookmarkEnd w:id="13"/>
    </w:p>
    <w:p>
      <w:pPr>
        <w:adjustRightInd w:val="0"/>
        <w:snapToGrid w:val="0"/>
        <w:spacing w:line="360" w:lineRule="auto"/>
        <w:ind w:firstLine="480" w:firstLineChars="200"/>
        <w:rPr>
          <w:rFonts w:hint="eastAsia" w:ascii="仿宋_GB2312" w:hAnsi="宋体" w:eastAsia="仿宋_GB2312"/>
          <w:color w:val="auto"/>
          <w:highlight w:val="none"/>
          <w:lang w:eastAsia="zh-CN"/>
        </w:rPr>
      </w:pPr>
      <w:r>
        <w:rPr>
          <w:rFonts w:hint="eastAsia" w:ascii="宋体" w:hAnsi="宋体" w:eastAsia="宋体"/>
          <w:color w:val="auto"/>
          <w:highlight w:val="none"/>
          <w:lang w:eastAsia="zh-CN"/>
        </w:rPr>
        <w:t>投标人</w:t>
      </w:r>
      <w:r>
        <w:rPr>
          <w:rFonts w:ascii="宋体" w:hAnsi="宋体" w:eastAsia="宋体"/>
          <w:color w:val="auto"/>
          <w:highlight w:val="none"/>
          <w:lang w:eastAsia="zh-CN"/>
        </w:rPr>
        <w:t>认为采购人员</w:t>
      </w:r>
      <w:r>
        <w:rPr>
          <w:rFonts w:hint="eastAsia" w:ascii="宋体" w:hAnsi="宋体" w:eastAsia="宋体"/>
          <w:color w:val="auto"/>
          <w:highlight w:val="none"/>
          <w:lang w:eastAsia="zh-CN"/>
        </w:rPr>
        <w:t>及其</w:t>
      </w:r>
      <w:r>
        <w:rPr>
          <w:rFonts w:ascii="宋体" w:hAnsi="宋体" w:eastAsia="宋体"/>
          <w:color w:val="auto"/>
          <w:highlight w:val="none"/>
          <w:lang w:eastAsia="zh-CN"/>
        </w:rPr>
        <w:t>相关人员有</w:t>
      </w:r>
      <w:r>
        <w:rPr>
          <w:rFonts w:hint="eastAsia" w:ascii="宋体" w:hAnsi="宋体" w:eastAsia="宋体"/>
          <w:color w:val="auto"/>
          <w:highlight w:val="none"/>
          <w:lang w:eastAsia="zh-CN"/>
        </w:rPr>
        <w:t>法律</w:t>
      </w:r>
      <w:r>
        <w:rPr>
          <w:rFonts w:ascii="宋体" w:hAnsi="宋体" w:eastAsia="宋体"/>
          <w:color w:val="auto"/>
          <w:highlight w:val="none"/>
          <w:lang w:eastAsia="zh-CN"/>
        </w:rPr>
        <w:t>法规所列与其他供应商</w:t>
      </w:r>
      <w:r>
        <w:rPr>
          <w:rFonts w:hint="eastAsia" w:ascii="宋体" w:hAnsi="宋体" w:eastAsia="宋体"/>
          <w:color w:val="auto"/>
          <w:highlight w:val="none"/>
          <w:lang w:eastAsia="zh-CN"/>
        </w:rPr>
        <w:t>有</w:t>
      </w:r>
      <w:r>
        <w:rPr>
          <w:rFonts w:ascii="宋体" w:hAnsi="宋体" w:eastAsia="宋体"/>
          <w:color w:val="auto"/>
          <w:highlight w:val="none"/>
          <w:lang w:eastAsia="zh-CN"/>
        </w:rPr>
        <w:t>利害关系的，可以向</w:t>
      </w:r>
      <w:r>
        <w:rPr>
          <w:rFonts w:hint="eastAsia" w:ascii="宋体" w:hAnsi="宋体" w:eastAsia="宋体"/>
          <w:color w:val="auto"/>
          <w:highlight w:val="none"/>
          <w:lang w:eastAsia="zh-CN"/>
        </w:rPr>
        <w:t>采购人或</w:t>
      </w:r>
      <w:r>
        <w:rPr>
          <w:rFonts w:ascii="宋体" w:hAnsi="宋体" w:eastAsia="宋体"/>
          <w:color w:val="auto"/>
          <w:highlight w:val="none"/>
          <w:lang w:eastAsia="zh-CN"/>
        </w:rPr>
        <w:t>采购代理机构书面提出回避申请，并说明理由。</w:t>
      </w:r>
    </w:p>
    <w:p>
      <w:pPr>
        <w:adjustRightInd w:val="0"/>
        <w:snapToGrid w:val="0"/>
        <w:spacing w:line="360" w:lineRule="auto"/>
        <w:ind w:firstLine="482" w:firstLineChars="200"/>
        <w:outlineLvl w:val="2"/>
        <w:rPr>
          <w:rFonts w:hint="eastAsia" w:ascii="宋体" w:hAnsi="宋体" w:eastAsia="宋体"/>
          <w:b/>
          <w:color w:val="auto"/>
          <w:highlight w:val="none"/>
          <w:lang w:eastAsia="zh-CN"/>
        </w:rPr>
      </w:pPr>
      <w:r>
        <w:rPr>
          <w:rFonts w:hint="eastAsia" w:ascii="宋体" w:hAnsi="宋体" w:eastAsia="宋体"/>
          <w:b/>
          <w:color w:val="auto"/>
          <w:highlight w:val="none"/>
          <w:lang w:eastAsia="zh-CN"/>
        </w:rPr>
        <w:t>36</w:t>
      </w:r>
      <w:r>
        <w:rPr>
          <w:rFonts w:ascii="宋体" w:hAnsi="宋体" w:eastAsia="宋体"/>
          <w:b/>
          <w:color w:val="auto"/>
          <w:highlight w:val="none"/>
          <w:lang w:eastAsia="zh-CN"/>
        </w:rPr>
        <w:t>.</w:t>
      </w:r>
      <w:r>
        <w:rPr>
          <w:rFonts w:hint="eastAsia" w:ascii="宋体" w:hAnsi="宋体" w:eastAsia="宋体"/>
          <w:b/>
          <w:color w:val="auto"/>
          <w:highlight w:val="none"/>
          <w:lang w:eastAsia="zh-CN"/>
        </w:rPr>
        <w:t>质疑的提出与接收</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36.1投标人认为遴选文件、遴选过程和中标结果使自己的权益受到损害的，可以在知道或者应知其权益受到损害之日起七个工作日内，以书面形式向采购人或其委托的采购代理机构提出质疑</w:t>
      </w:r>
      <w:r>
        <w:rPr>
          <w:rFonts w:hint="eastAsia" w:ascii="宋体" w:hAnsi="宋体" w:eastAsia="宋体"/>
          <w:color w:val="auto"/>
          <w:kern w:val="2"/>
          <w:highlight w:val="none"/>
          <w:lang w:eastAsia="zh-CN"/>
        </w:rPr>
        <w:t>。</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36.2 上述应知其权益受到损害之日，是指：</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（1）对遴选文件提出质疑的，为获取遴选文件或遴选文件公告期限届满之日；</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（2）对采购过程提出质疑的，为各采购程序环节结束之日；</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（3）对中标结果提出质疑的，为中标结果公告期限届满之日。</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36.3质疑供应商应按照财政部制定的《政府采购供应商质疑函范本》格式（详见遴选文件）和《政府采购质疑和投诉办法》的要求，在法定质疑期内以书面形式提出质疑，超出法定质疑期提交的质疑将被拒绝。针对同一采购程序环节的质疑应一次性提出。</w:t>
      </w:r>
    </w:p>
    <w:p>
      <w:pPr>
        <w:adjustRightInd w:val="0"/>
        <w:snapToGrid w:val="0"/>
        <w:spacing w:line="360" w:lineRule="auto"/>
        <w:ind w:firstLine="480" w:firstLineChars="200"/>
        <w:rPr>
          <w:rFonts w:hint="eastAsia" w:ascii="宋体" w:hAnsi="宋体" w:eastAsia="宋体"/>
          <w:b/>
          <w:bCs/>
          <w:color w:val="auto"/>
          <w:highlight w:val="none"/>
          <w:lang w:eastAsia="zh-CN"/>
        </w:rPr>
      </w:pPr>
      <w:r>
        <w:rPr>
          <w:rFonts w:hint="eastAsia" w:ascii="宋体" w:hAnsi="宋体" w:eastAsia="宋体"/>
          <w:color w:val="auto"/>
          <w:highlight w:val="none"/>
          <w:lang w:eastAsia="zh-CN"/>
        </w:rPr>
        <w:t>36.4采购代理机构质疑函接收部门、联系电话和通讯地址，见</w:t>
      </w:r>
      <w:r>
        <w:rPr>
          <w:rFonts w:hint="eastAsia" w:ascii="宋体" w:hAnsi="宋体" w:eastAsia="宋体"/>
          <w:color w:val="auto"/>
          <w:highlight w:val="none"/>
          <w:u w:val="single"/>
          <w:lang w:eastAsia="zh-CN"/>
        </w:rPr>
        <w:t>投标人须知前附表</w:t>
      </w:r>
      <w:r>
        <w:rPr>
          <w:rFonts w:hint="eastAsia" w:ascii="宋体" w:hAnsi="宋体" w:eastAsia="宋体"/>
          <w:color w:val="auto"/>
          <w:highlight w:val="none"/>
          <w:lang w:eastAsia="zh-CN"/>
        </w:rPr>
        <w:t>。</w:t>
      </w:r>
    </w:p>
    <w:p>
      <w:pPr>
        <w:adjustRightInd w:val="0"/>
        <w:snapToGrid w:val="0"/>
        <w:spacing w:line="360" w:lineRule="auto"/>
        <w:ind w:firstLine="480" w:firstLineChars="200"/>
        <w:outlineLvl w:val="2"/>
        <w:rPr>
          <w:rFonts w:hint="eastAsia" w:ascii="宋体" w:hAnsi="宋体" w:eastAsia="宋体"/>
          <w:bCs/>
          <w:color w:val="auto"/>
          <w:highlight w:val="none"/>
          <w:lang w:eastAsia="zh-CN"/>
        </w:rPr>
      </w:pPr>
      <w:r>
        <w:rPr>
          <w:rFonts w:hint="eastAsia" w:ascii="宋体" w:hAnsi="宋体" w:eastAsia="宋体"/>
          <w:bCs/>
          <w:color w:val="auto"/>
          <w:highlight w:val="none"/>
          <w:lang w:eastAsia="zh-CN"/>
        </w:rPr>
        <w:t>37</w:t>
      </w:r>
      <w:r>
        <w:rPr>
          <w:rFonts w:ascii="宋体" w:hAnsi="宋体" w:eastAsia="宋体"/>
          <w:bCs/>
          <w:color w:val="auto"/>
          <w:highlight w:val="none"/>
          <w:lang w:eastAsia="zh-CN"/>
        </w:rPr>
        <w:t>.</w:t>
      </w:r>
      <w:r>
        <w:rPr>
          <w:rFonts w:hint="eastAsia" w:ascii="宋体" w:hAnsi="宋体" w:eastAsia="宋体"/>
          <w:bCs/>
          <w:color w:val="auto"/>
          <w:highlight w:val="none"/>
          <w:lang w:eastAsia="zh-CN"/>
        </w:rPr>
        <w:t>需要补充的其他内容</w:t>
      </w:r>
    </w:p>
    <w:p>
      <w:pPr>
        <w:adjustRightInd w:val="0"/>
        <w:snapToGrid w:val="0"/>
        <w:spacing w:line="360" w:lineRule="auto"/>
        <w:ind w:firstLine="480" w:firstLineChars="200"/>
        <w:rPr>
          <w:rFonts w:hint="eastAsia" w:ascii="宋体" w:hAnsi="宋体" w:eastAsia="宋体"/>
          <w:b/>
          <w:color w:val="auto"/>
          <w:sz w:val="28"/>
          <w:highlight w:val="none"/>
          <w:lang w:eastAsia="zh-CN"/>
        </w:rPr>
      </w:pPr>
      <w:r>
        <w:rPr>
          <w:rFonts w:hint="eastAsia" w:ascii="宋体" w:hAnsi="宋体" w:eastAsia="宋体"/>
          <w:color w:val="auto"/>
          <w:highlight w:val="none"/>
          <w:lang w:eastAsia="zh-CN"/>
        </w:rPr>
        <w:t>需要补充的其他内容，见</w:t>
      </w:r>
      <w:r>
        <w:rPr>
          <w:rFonts w:hint="eastAsia" w:ascii="宋体" w:hAnsi="宋体" w:eastAsia="宋体"/>
          <w:color w:val="auto"/>
          <w:highlight w:val="none"/>
          <w:u w:val="single"/>
          <w:lang w:eastAsia="zh-CN"/>
        </w:rPr>
        <w:t>投标人须知前附表</w:t>
      </w:r>
      <w:r>
        <w:rPr>
          <w:rFonts w:hint="eastAsia" w:ascii="宋体" w:hAnsi="宋体" w:eastAsia="宋体"/>
          <w:color w:val="auto"/>
          <w:highlight w:val="none"/>
          <w:lang w:eastAsia="zh-CN"/>
        </w:rPr>
        <w:t>。</w:t>
      </w:r>
      <w:bookmarkStart w:id="14" w:name="_Toc10891"/>
      <w:r>
        <w:rPr>
          <w:rFonts w:hint="eastAsia" w:ascii="宋体" w:hAnsi="宋体" w:eastAsia="宋体"/>
          <w:b/>
          <w:color w:val="auto"/>
          <w:sz w:val="28"/>
          <w:highlight w:val="none"/>
          <w:lang w:eastAsia="zh-CN"/>
        </w:rPr>
        <w:br w:type="page"/>
      </w:r>
    </w:p>
    <w:p>
      <w:pPr>
        <w:adjustRightInd w:val="0"/>
        <w:snapToGrid w:val="0"/>
        <w:spacing w:line="360" w:lineRule="auto"/>
        <w:jc w:val="center"/>
        <w:outlineLvl w:val="0"/>
        <w:rPr>
          <w:rFonts w:hint="eastAsia" w:ascii="宋体" w:hAnsi="宋体" w:eastAsia="宋体"/>
          <w:b/>
          <w:color w:val="auto"/>
          <w:sz w:val="28"/>
          <w:highlight w:val="none"/>
          <w:lang w:eastAsia="zh-CN"/>
        </w:rPr>
      </w:pPr>
      <w:r>
        <w:rPr>
          <w:rFonts w:hint="eastAsia" w:ascii="宋体" w:hAnsi="宋体" w:eastAsia="宋体"/>
          <w:b/>
          <w:color w:val="auto"/>
          <w:sz w:val="28"/>
          <w:highlight w:val="none"/>
          <w:lang w:eastAsia="zh-CN"/>
        </w:rPr>
        <w:t>第三章  采购需求</w:t>
      </w:r>
      <w:bookmarkEnd w:id="14"/>
      <w:bookmarkStart w:id="15" w:name="_Toc2554"/>
      <w:bookmarkStart w:id="16" w:name="_Toc32151"/>
    </w:p>
    <w:bookmarkEnd w:id="15"/>
    <w:bookmarkEnd w:id="16"/>
    <w:p>
      <w:pPr>
        <w:pageBreakBefore w:val="0"/>
        <w:kinsoku/>
        <w:overflowPunct/>
        <w:topLinePunct w:val="0"/>
        <w:bidi w:val="0"/>
        <w:adjustRightInd w:val="0"/>
        <w:snapToGrid w:val="0"/>
        <w:spacing w:after="0" w:line="360" w:lineRule="auto"/>
        <w:textAlignment w:val="auto"/>
        <w:rPr>
          <w:rFonts w:ascii="宋体" w:hAnsi="宋体" w:eastAsia="宋体"/>
          <w:b/>
          <w:color w:val="auto"/>
          <w:sz w:val="24"/>
          <w:highlight w:val="none"/>
        </w:rPr>
      </w:pPr>
      <w:r>
        <w:rPr>
          <w:rFonts w:hint="eastAsia" w:ascii="宋体" w:hAnsi="宋体" w:eastAsia="宋体"/>
          <w:b/>
          <w:color w:val="auto"/>
          <w:sz w:val="24"/>
          <w:highlight w:val="none"/>
        </w:rPr>
        <w:t>前注：</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1.本采购需求中提出的服务方案仅为参考，如无明确限制，投标人可以进行优化，提供满足采购人实际需要的更优（或者性能实质上不低于的）服务方案，且此方案须经评标委员会评审认可。</w:t>
      </w:r>
    </w:p>
    <w:p>
      <w:pPr>
        <w:pStyle w:val="14"/>
        <w:rPr>
          <w:rFonts w:hint="eastAsia"/>
          <w:color w:val="auto"/>
          <w:highlight w:val="none"/>
          <w:lang w:val="en-US" w:eastAsia="zh-CN"/>
        </w:rPr>
      </w:pPr>
    </w:p>
    <w:p>
      <w:pPr>
        <w:spacing w:line="360" w:lineRule="auto"/>
        <w:ind w:firstLine="437"/>
        <w:outlineLvl w:val="1"/>
        <w:rPr>
          <w:rFonts w:ascii="宋体" w:hAnsi="宋体" w:eastAsia="宋体"/>
          <w:b/>
          <w:color w:val="auto"/>
          <w:sz w:val="24"/>
          <w:szCs w:val="18"/>
          <w:highlight w:val="none"/>
        </w:rPr>
      </w:pPr>
      <w:bookmarkStart w:id="17" w:name="_Toc19777"/>
      <w:bookmarkStart w:id="18" w:name="_Toc24254"/>
      <w:r>
        <w:rPr>
          <w:rFonts w:hint="eastAsia" w:ascii="宋体" w:hAnsi="宋体" w:eastAsia="宋体"/>
          <w:b/>
          <w:color w:val="auto"/>
          <w:sz w:val="24"/>
          <w:szCs w:val="18"/>
          <w:highlight w:val="none"/>
        </w:rPr>
        <w:t>一、采购需求前附表</w:t>
      </w:r>
      <w:bookmarkEnd w:id="17"/>
    </w:p>
    <w:tbl>
      <w:tblPr>
        <w:tblStyle w:val="24"/>
        <w:tblW w:w="94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2242"/>
        <w:gridCol w:w="6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10" w:type="dxa"/>
            <w:vAlign w:val="center"/>
          </w:tcPr>
          <w:p>
            <w:pPr>
              <w:pStyle w:val="62"/>
              <w:keepNext w:val="0"/>
              <w:keepLines w:val="0"/>
              <w:suppressLineNumbers w:val="0"/>
              <w:pBdr>
                <w:bottom w:val="none" w:color="auto" w:sz="0" w:space="0"/>
              </w:pBdr>
              <w:tabs>
                <w:tab w:val="clear" w:pos="4153"/>
                <w:tab w:val="clear" w:pos="8306"/>
              </w:tabs>
              <w:adjustRightInd/>
              <w:spacing w:before="0" w:beforeAutospacing="0" w:after="0" w:afterAutospacing="0" w:line="360" w:lineRule="auto"/>
              <w:ind w:left="0" w:right="0"/>
              <w:textAlignment w:val="auto"/>
              <w:rPr>
                <w:rFonts w:hint="default" w:ascii="宋体" w:hAnsi="宋体" w:eastAsia="宋体"/>
                <w:b/>
                <w:color w:val="auto"/>
                <w:kern w:val="2"/>
                <w:highlight w:val="none"/>
              </w:rPr>
            </w:pPr>
            <w:r>
              <w:rPr>
                <w:rFonts w:hint="eastAsia" w:ascii="宋体" w:hAnsi="宋体" w:eastAsia="宋体"/>
                <w:b/>
                <w:color w:val="auto"/>
                <w:kern w:val="2"/>
                <w:highlight w:val="none"/>
              </w:rPr>
              <w:t>序号</w:t>
            </w:r>
          </w:p>
        </w:tc>
        <w:tc>
          <w:tcPr>
            <w:tcW w:w="2242" w:type="dxa"/>
            <w:vAlign w:val="center"/>
          </w:tcPr>
          <w:p>
            <w:pPr>
              <w:pStyle w:val="44"/>
              <w:keepNext w:val="0"/>
              <w:keepLines w:val="0"/>
              <w:widowControl w:val="0"/>
              <w:suppressLineNumbers w:val="0"/>
              <w:spacing w:before="0" w:beforeAutospacing="0" w:after="0" w:afterAutospacing="0" w:line="360" w:lineRule="auto"/>
              <w:ind w:left="0" w:right="0"/>
              <w:rPr>
                <w:rFonts w:hint="default"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6052" w:type="dxa"/>
            <w:vAlign w:val="center"/>
          </w:tcPr>
          <w:p>
            <w:pPr>
              <w:pStyle w:val="44"/>
              <w:keepNext w:val="0"/>
              <w:keepLines w:val="0"/>
              <w:widowControl w:val="0"/>
              <w:suppressLineNumbers w:val="0"/>
              <w:spacing w:before="0" w:beforeAutospacing="0" w:after="0" w:afterAutospacing="0" w:line="360" w:lineRule="auto"/>
              <w:ind w:left="0" w:right="0"/>
              <w:rPr>
                <w:rFonts w:hint="default"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10" w:type="dxa"/>
            <w:vAlign w:val="center"/>
          </w:tcPr>
          <w:p>
            <w:pPr>
              <w:pStyle w:val="62"/>
              <w:keepNext w:val="0"/>
              <w:keepLines w:val="0"/>
              <w:suppressLineNumbers w:val="0"/>
              <w:pBdr>
                <w:bottom w:val="none" w:color="auto" w:sz="0" w:space="0"/>
              </w:pBdr>
              <w:tabs>
                <w:tab w:val="clear" w:pos="4153"/>
                <w:tab w:val="clear" w:pos="8306"/>
              </w:tabs>
              <w:adjustRightInd/>
              <w:spacing w:before="0" w:beforeAutospacing="0" w:after="0" w:afterAutospacing="0" w:line="36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1</w:t>
            </w:r>
          </w:p>
        </w:tc>
        <w:tc>
          <w:tcPr>
            <w:tcW w:w="2242" w:type="dxa"/>
            <w:vAlign w:val="center"/>
          </w:tcPr>
          <w:p>
            <w:pPr>
              <w:keepNext w:val="0"/>
              <w:keepLines w:val="0"/>
              <w:suppressLineNumbers w:val="0"/>
              <w:spacing w:before="0" w:beforeAutospacing="0" w:after="0" w:afterAutospacing="0" w:line="360" w:lineRule="auto"/>
              <w:ind w:left="0" w:right="0" w:firstLine="437"/>
              <w:rPr>
                <w:rFonts w:hint="default"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服务地点</w:t>
            </w:r>
          </w:p>
        </w:tc>
        <w:tc>
          <w:tcPr>
            <w:tcW w:w="6052" w:type="dxa"/>
            <w:vAlign w:val="center"/>
          </w:tcPr>
          <w:p>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安徽省</w:t>
            </w:r>
            <w:r>
              <w:rPr>
                <w:rFonts w:hint="eastAsia" w:asciiTheme="minorEastAsia" w:hAnsiTheme="minorEastAsia" w:eastAsiaTheme="minorEastAsia"/>
                <w:color w:val="auto"/>
                <w:sz w:val="24"/>
                <w:highlight w:val="none"/>
                <w:lang w:eastAsia="zh-CN"/>
              </w:rPr>
              <w:t>铜陵市</w:t>
            </w:r>
            <w:r>
              <w:rPr>
                <w:rFonts w:hint="eastAsia" w:asciiTheme="minorEastAsia" w:hAnsiTheme="minorEastAsia" w:eastAsiaTheme="minorEastAsia"/>
                <w:color w:val="auto"/>
                <w:sz w:val="24"/>
                <w:highlight w:val="none"/>
              </w:rPr>
              <w:t>，采购人指定地点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10" w:type="dxa"/>
            <w:vAlign w:val="center"/>
          </w:tcPr>
          <w:p>
            <w:pPr>
              <w:pStyle w:val="62"/>
              <w:keepNext w:val="0"/>
              <w:keepLines w:val="0"/>
              <w:suppressLineNumbers w:val="0"/>
              <w:pBdr>
                <w:bottom w:val="none" w:color="auto" w:sz="0" w:space="0"/>
              </w:pBdr>
              <w:tabs>
                <w:tab w:val="clear" w:pos="4153"/>
                <w:tab w:val="clear" w:pos="8306"/>
              </w:tabs>
              <w:adjustRightInd/>
              <w:spacing w:before="0" w:beforeAutospacing="0" w:after="0" w:afterAutospacing="0" w:line="36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2</w:t>
            </w:r>
          </w:p>
        </w:tc>
        <w:tc>
          <w:tcPr>
            <w:tcW w:w="2242" w:type="dxa"/>
            <w:vAlign w:val="center"/>
          </w:tcPr>
          <w:p>
            <w:pPr>
              <w:keepNext w:val="0"/>
              <w:keepLines w:val="0"/>
              <w:suppressLineNumbers w:val="0"/>
              <w:spacing w:before="0" w:beforeAutospacing="0" w:after="0" w:afterAutospacing="0" w:line="360" w:lineRule="auto"/>
              <w:ind w:left="0" w:right="0" w:firstLine="437"/>
              <w:rPr>
                <w:rFonts w:hint="default"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服务期限</w:t>
            </w:r>
          </w:p>
        </w:tc>
        <w:tc>
          <w:tcPr>
            <w:tcW w:w="6052" w:type="dxa"/>
            <w:vAlign w:val="center"/>
          </w:tcPr>
          <w:p>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stheme="minorEastAsia"/>
                <w:color w:val="auto"/>
                <w:sz w:val="24"/>
                <w:szCs w:val="24"/>
                <w:highlight w:val="none"/>
              </w:rPr>
              <w:t>合同签订后3个月内建成并投入运行</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olor w:val="auto"/>
                <w:sz w:val="24"/>
                <w:highlight w:val="none"/>
                <w:lang w:val="en-US" w:eastAsia="zh-CN"/>
              </w:rPr>
              <w:t>运维服务期自</w:t>
            </w:r>
            <w:r>
              <w:rPr>
                <w:rFonts w:hint="eastAsia" w:asciiTheme="minorEastAsia" w:hAnsiTheme="minorEastAsia" w:eastAsiaTheme="minorEastAsia" w:cstheme="minorEastAsia"/>
                <w:color w:val="auto"/>
                <w:sz w:val="24"/>
                <w:szCs w:val="24"/>
                <w:highlight w:val="none"/>
              </w:rPr>
              <w:t>建成并投入运行</w:t>
            </w:r>
            <w:r>
              <w:rPr>
                <w:rFonts w:hint="eastAsia" w:asciiTheme="minorEastAsia" w:hAnsiTheme="minorEastAsia" w:eastAsiaTheme="minorEastAsia"/>
                <w:color w:val="auto"/>
                <w:sz w:val="24"/>
                <w:highlight w:val="none"/>
              </w:rPr>
              <w:t>起</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年</w:t>
            </w:r>
            <w:r>
              <w:rPr>
                <w:rFonts w:hint="eastAsia" w:asciiTheme="minorEastAsia" w:hAnsiTheme="minorEastAsia" w:eastAsiaTheme="minorEastAsia"/>
                <w:color w:val="auto"/>
                <w:sz w:val="24"/>
                <w:highlight w:val="none"/>
                <w:lang w:eastAsia="zh-CN"/>
              </w:rPr>
              <w:t>。</w:t>
            </w:r>
          </w:p>
        </w:tc>
      </w:tr>
    </w:tbl>
    <w:p>
      <w:pPr>
        <w:spacing w:line="360" w:lineRule="auto"/>
        <w:ind w:firstLine="437"/>
        <w:outlineLvl w:val="1"/>
        <w:rPr>
          <w:rFonts w:hint="eastAsia" w:ascii="宋体" w:hAnsi="宋体" w:eastAsia="宋体"/>
          <w:b/>
          <w:color w:val="auto"/>
          <w:sz w:val="24"/>
          <w:szCs w:val="18"/>
          <w:highlight w:val="none"/>
        </w:rPr>
      </w:pPr>
      <w:bookmarkStart w:id="19" w:name="_Hlk16461016"/>
      <w:r>
        <w:rPr>
          <w:rFonts w:hint="eastAsia" w:ascii="宋体" w:hAnsi="宋体" w:eastAsia="宋体"/>
          <w:b/>
          <w:color w:val="auto"/>
          <w:sz w:val="24"/>
          <w:szCs w:val="18"/>
          <w:highlight w:val="none"/>
        </w:rPr>
        <w:t>二、项目概况</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为加快</w:t>
      </w:r>
      <w:r>
        <w:rPr>
          <w:rFonts w:hint="eastAsia" w:asciiTheme="minorEastAsia" w:hAnsiTheme="minorEastAsia" w:eastAsiaTheme="minorEastAsia" w:cstheme="minorEastAsia"/>
          <w:color w:val="auto"/>
          <w:sz w:val="24"/>
          <w:szCs w:val="24"/>
          <w:highlight w:val="none"/>
          <w:lang w:eastAsia="zh-CN"/>
        </w:rPr>
        <w:t>铜陵市</w:t>
      </w:r>
      <w:r>
        <w:rPr>
          <w:rFonts w:hint="eastAsia" w:asciiTheme="minorEastAsia" w:hAnsiTheme="minorEastAsia" w:eastAsiaTheme="minorEastAsia" w:cstheme="minorEastAsia"/>
          <w:color w:val="auto"/>
          <w:sz w:val="24"/>
          <w:szCs w:val="24"/>
          <w:highlight w:val="none"/>
        </w:rPr>
        <w:t>公共数据资源开发利用，规范公共数据资源授权运营，促进一体化数据市场培育，释放数据要素价值，根据《安徽省公共数据资源授权运营实施细则（试行）》《</w:t>
      </w:r>
      <w:r>
        <w:rPr>
          <w:rFonts w:hint="eastAsia" w:asciiTheme="minorEastAsia" w:hAnsiTheme="minorEastAsia" w:eastAsiaTheme="minorEastAsia" w:cstheme="minorEastAsia"/>
          <w:color w:val="auto"/>
          <w:sz w:val="24"/>
          <w:szCs w:val="24"/>
          <w:highlight w:val="none"/>
          <w:lang w:eastAsia="zh-CN"/>
        </w:rPr>
        <w:t>铜陵市</w:t>
      </w:r>
      <w:r>
        <w:rPr>
          <w:rFonts w:hint="eastAsia" w:asciiTheme="minorEastAsia" w:hAnsiTheme="minorEastAsia" w:eastAsiaTheme="minorEastAsia" w:cstheme="minorEastAsia"/>
          <w:color w:val="auto"/>
          <w:sz w:val="24"/>
          <w:szCs w:val="24"/>
          <w:highlight w:val="none"/>
        </w:rPr>
        <w:t>公共数据资源授权运营实施方案》等有关要求，采取“整体授权+分领域协同”</w:t>
      </w:r>
      <w:r>
        <w:rPr>
          <w:rFonts w:hint="eastAsia" w:asciiTheme="minorEastAsia" w:hAnsiTheme="minorEastAsia" w:eastAsiaTheme="minorEastAsia" w:cstheme="minorEastAsia"/>
          <w:color w:val="auto"/>
          <w:sz w:val="24"/>
          <w:szCs w:val="24"/>
          <w:highlight w:val="none"/>
          <w:lang w:val="en-US" w:eastAsia="zh-CN"/>
        </w:rPr>
        <w:t>的授权运营</w:t>
      </w:r>
      <w:r>
        <w:rPr>
          <w:rFonts w:hint="eastAsia" w:asciiTheme="minorEastAsia" w:hAnsiTheme="minorEastAsia" w:eastAsiaTheme="minorEastAsia" w:cstheme="minorEastAsia"/>
          <w:color w:val="auto"/>
          <w:sz w:val="24"/>
          <w:szCs w:val="24"/>
          <w:highlight w:val="none"/>
        </w:rPr>
        <w:t>模式，在我市开展公共数据资源授权运营，现采取公开</w:t>
      </w:r>
      <w:r>
        <w:rPr>
          <w:rFonts w:hint="eastAsia" w:asciiTheme="minorEastAsia" w:hAnsiTheme="minorEastAsia" w:eastAsiaTheme="minorEastAsia" w:cstheme="minorEastAsia"/>
          <w:color w:val="auto"/>
          <w:sz w:val="24"/>
          <w:szCs w:val="24"/>
          <w:highlight w:val="none"/>
          <w:lang w:val="en-US" w:eastAsia="zh-CN"/>
        </w:rPr>
        <w:t>遴选</w:t>
      </w:r>
      <w:r>
        <w:rPr>
          <w:rFonts w:hint="eastAsia" w:asciiTheme="minorEastAsia" w:hAnsiTheme="minorEastAsia" w:eastAsiaTheme="minorEastAsia" w:cstheme="minorEastAsia"/>
          <w:color w:val="auto"/>
          <w:sz w:val="24"/>
          <w:szCs w:val="24"/>
          <w:highlight w:val="none"/>
        </w:rPr>
        <w:t>方式选择市公共数据资源授权运营机构。运营机构负责：</w:t>
      </w:r>
    </w:p>
    <w:p>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1．对授权范围内的公共数据资源进行开发运营，公开公共数据产品和服务清单，</w:t>
      </w:r>
      <w:r>
        <w:rPr>
          <w:rFonts w:hint="eastAsia" w:asciiTheme="minorEastAsia" w:hAnsiTheme="minorEastAsia" w:eastAsiaTheme="minorEastAsia" w:cstheme="minorEastAsia"/>
          <w:color w:val="auto"/>
          <w:sz w:val="24"/>
          <w:szCs w:val="24"/>
          <w:highlight w:val="none"/>
          <w:lang w:val="en-US" w:eastAsia="zh-CN"/>
        </w:rPr>
        <w:t>依法依规开展数据产品经营、技术服务，</w:t>
      </w:r>
      <w:r>
        <w:rPr>
          <w:rFonts w:hint="eastAsia" w:asciiTheme="minorEastAsia" w:hAnsiTheme="minorEastAsia" w:eastAsiaTheme="minorEastAsia" w:cstheme="minorEastAsia"/>
          <w:color w:val="auto"/>
          <w:sz w:val="24"/>
          <w:szCs w:val="24"/>
          <w:highlight w:val="none"/>
        </w:rPr>
        <w:t>披露公共数据资源使用情况，接受社会监督</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维护市场公平竞争秩序。</w:t>
      </w:r>
    </w:p>
    <w:p>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2．依法依规在授权范围内开展业务，不得直接或间接参与授权范围内已交付的公共数据产品和服务再开发，不得实施与其他经营主体达成垄断协议或滥用市场支配地位等垄断行为，不得实施不正当竞争行为。</w:t>
      </w:r>
    </w:p>
    <w:p>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3．按照公共数据资源登记管理要求登记公共数据产品和服务。</w:t>
      </w:r>
    </w:p>
    <w:p>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4．根据运营实际需要在省级运营平台能力基础上配套建设公共数据授权运营平台、数据开发技术支撑和运营管理工具，实现</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原始数据不出域、数据可用不可见</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提高数据加工、处理、运营、服务能力。</w:t>
      </w:r>
    </w:p>
    <w:p>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5．会同市数据资源局、数据提供部门建立公共数据质量管理机制，对数据错误、遗漏、更新滞后等问题提出治理需求，跟踪整改反馈。</w:t>
      </w:r>
    </w:p>
    <w:p>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．履行数据安全主体责任，落实数据分类分级、脱敏去标识化、访问控制、安全审计等措施；不得超授权范围使用公共数据资源</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建立全生命周期安全管控体系；制定应急处置预案，配合开展应急演练；严防个人信息泄露与数据安全事件，发生突发事件按规定时限上报。</w:t>
      </w:r>
    </w:p>
    <w:p>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．按程序公开遴选行业合伙人，签订合作协议并报主管部门备案；建立合伙人入驻、考核、退出管理制度；规范合伙人权限授予、变更、退出全流程备案管理。围绕赋能我市主导产业发展培育数据产业生态。</w:t>
      </w:r>
    </w:p>
    <w:p>
      <w:pPr>
        <w:spacing w:line="360" w:lineRule="auto"/>
        <w:ind w:firstLine="437"/>
        <w:outlineLvl w:val="1"/>
        <w:rPr>
          <w:rFonts w:hint="eastAsia" w:ascii="宋体" w:hAnsi="宋体" w:eastAsia="宋体"/>
          <w:b/>
          <w:color w:val="auto"/>
          <w:sz w:val="24"/>
          <w:szCs w:val="18"/>
          <w:highlight w:val="none"/>
        </w:rPr>
      </w:pPr>
      <w:r>
        <w:rPr>
          <w:rFonts w:hint="eastAsia" w:ascii="宋体" w:hAnsi="宋体" w:eastAsia="宋体"/>
          <w:b/>
          <w:color w:val="auto"/>
          <w:sz w:val="24"/>
          <w:szCs w:val="18"/>
          <w:highlight w:val="none"/>
        </w:rPr>
        <w:t>三、服务需求</w:t>
      </w:r>
    </w:p>
    <w:p>
      <w:pPr>
        <w:spacing w:line="360" w:lineRule="auto"/>
        <w:ind w:firstLine="437"/>
        <w:outlineLvl w:val="1"/>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（一）基本要求</w:t>
      </w:r>
    </w:p>
    <w:p>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市公共数据资源授权运营机构应当符合下列条件：</w:t>
      </w:r>
    </w:p>
    <w:p>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en-US"/>
        </w:rPr>
      </w:pPr>
      <w:r>
        <w:rPr>
          <w:rFonts w:hint="eastAsia" w:asciiTheme="minorEastAsia" w:hAnsiTheme="minorEastAsia" w:eastAsiaTheme="minorEastAsia" w:cstheme="minorEastAsia"/>
          <w:color w:val="auto"/>
          <w:sz w:val="24"/>
          <w:szCs w:val="24"/>
          <w:highlight w:val="none"/>
          <w:lang w:val="en-US" w:eastAsia="zh-CN"/>
        </w:rPr>
        <w:t>（1）满足《中华人民共和国政府采购法》第二十二条规定；</w:t>
      </w:r>
    </w:p>
    <w:p>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经营状况和信用状况良好，具备长期运营的财务实力，能够承担授权运营前期投入和后续运营成本，单位及其法定代表人、主要负责人无重大违法记录，未被列入失信被执行人名单或重大税收违法案件当事人名单。</w:t>
      </w:r>
    </w:p>
    <w:p>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）熟悉了解国家和省、市公共数据资源管理、开发利用相关法律法规、政策文件及标准规范，具备较强的生态运营能力，能够引入多元数商和社会数据资源。</w:t>
      </w:r>
    </w:p>
    <w:p>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）具备数据安全管理的环境和条件，能够配合政府部门开展监管，及时响应监管要求。</w:t>
      </w:r>
      <w:r>
        <w:rPr>
          <w:rFonts w:hint="eastAsia" w:asciiTheme="minorEastAsia" w:hAnsiTheme="minorEastAsia" w:eastAsiaTheme="minorEastAsia" w:cstheme="minorEastAsia"/>
          <w:color w:val="auto"/>
          <w:sz w:val="24"/>
          <w:szCs w:val="24"/>
          <w:highlight w:val="none"/>
          <w:lang w:val="en-US" w:eastAsia="zh-CN"/>
        </w:rPr>
        <w:t>具有</w:t>
      </w:r>
      <w:r>
        <w:rPr>
          <w:rFonts w:hint="eastAsia" w:asciiTheme="minorEastAsia" w:hAnsiTheme="minorEastAsia" w:eastAsiaTheme="minorEastAsia" w:cstheme="minorEastAsia"/>
          <w:color w:val="auto"/>
          <w:sz w:val="24"/>
          <w:szCs w:val="24"/>
          <w:highlight w:val="none"/>
        </w:rPr>
        <w:t>完善的数据安全管理体系，近三年未发生网络安全、数据安全或个人信息泄露事件。</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）具备开展数据加工处理、产品开发和运营服务的专业技术团队及基础设施。</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）符合公共数据资源授权运营的其他规定要求。</w:t>
      </w:r>
    </w:p>
    <w:p>
      <w:pPr>
        <w:spacing w:line="360" w:lineRule="auto"/>
        <w:ind w:firstLine="482" w:firstLineChars="200"/>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（二）运营目标</w:t>
      </w:r>
    </w:p>
    <w:p>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运营机构在</w:t>
      </w:r>
      <w:r>
        <w:rPr>
          <w:rFonts w:hint="eastAsia" w:asciiTheme="minorEastAsia" w:hAnsiTheme="minorEastAsia" w:eastAsiaTheme="minorEastAsia" w:cstheme="minorEastAsia"/>
          <w:color w:val="auto"/>
          <w:sz w:val="24"/>
          <w:szCs w:val="24"/>
          <w:highlight w:val="none"/>
        </w:rPr>
        <w:t>5年</w:t>
      </w:r>
      <w:r>
        <w:rPr>
          <w:rFonts w:hint="eastAsia" w:asciiTheme="minorEastAsia" w:hAnsiTheme="minorEastAsia" w:eastAsiaTheme="minorEastAsia" w:cstheme="minorEastAsia"/>
          <w:color w:val="auto"/>
          <w:sz w:val="24"/>
          <w:szCs w:val="24"/>
          <w:highlight w:val="none"/>
          <w:lang w:val="en-US" w:eastAsia="zh-CN"/>
        </w:rPr>
        <w:t>时间内</w:t>
      </w:r>
      <w:r>
        <w:rPr>
          <w:rFonts w:hint="eastAsia" w:asciiTheme="minorEastAsia" w:hAnsiTheme="minorEastAsia" w:eastAsiaTheme="minorEastAsia" w:cstheme="minorEastAsia"/>
          <w:color w:val="auto"/>
          <w:sz w:val="24"/>
          <w:szCs w:val="24"/>
          <w:highlight w:val="none"/>
        </w:rPr>
        <w:t>，建成市级公共数据运营平台并实现与省级平台互联互通，完善公共数据目录动态更新与数据质量管理体系；聚焦</w:t>
      </w:r>
      <w:r>
        <w:rPr>
          <w:rFonts w:hint="eastAsia" w:asciiTheme="minorEastAsia" w:hAnsiTheme="minorEastAsia" w:eastAsiaTheme="minorEastAsia" w:cstheme="minorEastAsia"/>
          <w:color w:val="auto"/>
          <w:sz w:val="24"/>
          <w:szCs w:val="24"/>
          <w:highlight w:val="none"/>
          <w:lang w:val="en-US" w:eastAsia="zh-CN"/>
        </w:rPr>
        <w:t>医疗健康</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金融服务</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化工</w:t>
      </w:r>
      <w:r>
        <w:rPr>
          <w:rFonts w:hint="eastAsia" w:asciiTheme="minorEastAsia" w:hAnsiTheme="minorEastAsia" w:eastAsiaTheme="minorEastAsia" w:cstheme="minorEastAsia"/>
          <w:color w:val="auto"/>
          <w:sz w:val="24"/>
          <w:szCs w:val="24"/>
          <w:highlight w:val="none"/>
        </w:rPr>
        <w:t>环保、</w:t>
      </w:r>
      <w:r>
        <w:rPr>
          <w:rFonts w:hint="eastAsia" w:asciiTheme="minorEastAsia" w:hAnsiTheme="minorEastAsia" w:eastAsiaTheme="minorEastAsia" w:cstheme="minorEastAsia"/>
          <w:color w:val="auto"/>
          <w:sz w:val="24"/>
          <w:szCs w:val="24"/>
          <w:highlight w:val="none"/>
          <w:lang w:val="en-US" w:eastAsia="zh-CN"/>
        </w:rPr>
        <w:t>城市</w:t>
      </w:r>
      <w:r>
        <w:rPr>
          <w:rFonts w:hint="eastAsia" w:asciiTheme="minorEastAsia" w:hAnsiTheme="minorEastAsia" w:eastAsiaTheme="minorEastAsia" w:cstheme="minorEastAsia"/>
          <w:color w:val="auto"/>
          <w:sz w:val="24"/>
          <w:szCs w:val="24"/>
          <w:highlight w:val="none"/>
        </w:rPr>
        <w:t>治理、</w:t>
      </w:r>
      <w:r>
        <w:rPr>
          <w:rFonts w:hint="eastAsia" w:asciiTheme="minorEastAsia" w:hAnsiTheme="minorEastAsia" w:eastAsiaTheme="minorEastAsia" w:cstheme="minorEastAsia"/>
          <w:color w:val="auto"/>
          <w:sz w:val="24"/>
          <w:szCs w:val="24"/>
          <w:highlight w:val="none"/>
          <w:lang w:val="en-US" w:eastAsia="zh-CN"/>
        </w:rPr>
        <w:t>社会民生</w:t>
      </w:r>
      <w:r>
        <w:rPr>
          <w:rFonts w:hint="eastAsia" w:asciiTheme="minorEastAsia" w:hAnsiTheme="minorEastAsia" w:eastAsiaTheme="minorEastAsia" w:cstheme="minorEastAsia"/>
          <w:color w:val="auto"/>
          <w:sz w:val="24"/>
          <w:szCs w:val="24"/>
          <w:highlight w:val="none"/>
        </w:rPr>
        <w:t>等重点领域，累计打造不少于8个可复制示范应用场景、上线30个以上标准化公共数据产品和服务，培育3—5家本土数据生态骨干企业、集聚10家以上行业优质合伙人队伍；严格落实原始数据不出域、数据可用不可见要求，健全数据全生命周期安全防护、个人信息保护与应急处置机制，形成数据供给—技术赋能—场景应用—市场交易完整产业生态，全面释放数据要素对铜陵主导产业升级、市域治理现代化和民生服务提质的赋能价值，打造全省公共数据授权运营基层示范样板。</w:t>
      </w:r>
    </w:p>
    <w:p>
      <w:pPr>
        <w:spacing w:line="360" w:lineRule="auto"/>
        <w:ind w:firstLine="482" w:firstLineChars="200"/>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（三）运营内容</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具体包括但不限于以下内容： </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1.运营期限：自授权运营协议签订之日起</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年。</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val="en-US" w:eastAsia="zh-CN"/>
        </w:rPr>
        <w:t>平台及技术</w:t>
      </w:r>
      <w:r>
        <w:rPr>
          <w:rFonts w:hint="eastAsia" w:asciiTheme="minorEastAsia" w:hAnsiTheme="minorEastAsia" w:eastAsiaTheme="minorEastAsia" w:cstheme="minorEastAsia"/>
          <w:color w:val="auto"/>
          <w:sz w:val="24"/>
          <w:szCs w:val="24"/>
          <w:highlight w:val="none"/>
        </w:rPr>
        <w:t>能力建设</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运营机构根据运营实际需要在省级运营平台能力基础上配套建设公共数据授权运营平台、数据开发技术支撑和运营管理工具，通过使用控制、数据沙箱、智能合约、隐私计算、高性能密态计算等安全、合规、可信的技术手段加工公共数据资源，</w:t>
      </w:r>
      <w:r>
        <w:rPr>
          <w:rFonts w:ascii="宋体" w:hAnsi="宋体" w:eastAsia="宋体" w:cs="宋体"/>
          <w:color w:val="auto"/>
          <w:sz w:val="24"/>
          <w:szCs w:val="24"/>
          <w:highlight w:val="none"/>
        </w:rPr>
        <w:t>全面提升数据归集、加工、治理、运营、服务全链条专业能力</w:t>
      </w:r>
      <w:r>
        <w:rPr>
          <w:rFonts w:hint="eastAsia" w:asciiTheme="minorEastAsia" w:hAnsiTheme="minorEastAsia" w:eastAsiaTheme="minorEastAsia" w:cstheme="minorEastAsia"/>
          <w:color w:val="auto"/>
          <w:sz w:val="24"/>
          <w:szCs w:val="24"/>
          <w:highlight w:val="none"/>
        </w:rPr>
        <w:t>。在合同签订后3个月内建成并投入运行。</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r>
        <w:rPr>
          <w:rFonts w:hint="eastAsia" w:asciiTheme="minorEastAsia" w:hAnsiTheme="minorEastAsia" w:eastAsiaTheme="minorEastAsia" w:cstheme="minorEastAsia"/>
          <w:color w:val="auto"/>
          <w:sz w:val="24"/>
          <w:szCs w:val="24"/>
          <w:highlight w:val="none"/>
          <w:lang w:val="en-US" w:eastAsia="zh-CN"/>
        </w:rPr>
        <w:t>数据开发运营与合规经营</w:t>
      </w:r>
    </w:p>
    <w:p>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ascii="宋体" w:hAnsi="宋体" w:eastAsia="宋体" w:cs="宋体"/>
          <w:color w:val="auto"/>
          <w:sz w:val="24"/>
          <w:szCs w:val="24"/>
          <w:highlight w:val="none"/>
        </w:rPr>
        <w:t>在授权范围内依法依规开展公共数据资源开发运营，编制并公开公共数据产品和服务清单，规范开展数据产品经营与技术服务；常态化披露公共数据使用情况，主动接受政府及社会监督，严格维护数据市场公平竞争秩序；严守授权业务边界</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不参与已交付公共数据产品和服务的二次开发，严禁实施垄断及不正当竞争行为</w:t>
      </w:r>
      <w:r>
        <w:rPr>
          <w:rFonts w:hint="eastAsia" w:asciiTheme="minorEastAsia" w:hAnsiTheme="minorEastAsia" w:eastAsiaTheme="minorEastAsia" w:cstheme="minorEastAsia"/>
          <w:color w:val="auto"/>
          <w:sz w:val="24"/>
          <w:szCs w:val="24"/>
          <w:highlight w:val="none"/>
        </w:rPr>
        <w:t>。运营机构应及时将公共数据产品和服务的定价依据、应用场景、使用范围及方式等信息报</w:t>
      </w:r>
      <w:r>
        <w:rPr>
          <w:rFonts w:hint="eastAsia" w:asciiTheme="minorEastAsia" w:hAnsiTheme="minorEastAsia" w:eastAsiaTheme="minorEastAsia" w:cstheme="minorEastAsia"/>
          <w:color w:val="auto"/>
          <w:sz w:val="24"/>
          <w:szCs w:val="24"/>
          <w:highlight w:val="none"/>
          <w:lang w:eastAsia="zh-CN"/>
        </w:rPr>
        <w:t>铜陵市</w:t>
      </w:r>
      <w:r>
        <w:rPr>
          <w:rFonts w:hint="eastAsia" w:asciiTheme="minorEastAsia" w:hAnsiTheme="minorEastAsia" w:eastAsiaTheme="minorEastAsia" w:cstheme="minorEastAsia"/>
          <w:color w:val="auto"/>
          <w:sz w:val="24"/>
          <w:szCs w:val="24"/>
          <w:highlight w:val="none"/>
        </w:rPr>
        <w:t>数据资源管理局备案。</w:t>
      </w:r>
    </w:p>
    <w:p>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4.数据产品登记管理</w:t>
      </w:r>
    </w:p>
    <w:p>
      <w:pPr>
        <w:spacing w:line="360" w:lineRule="auto"/>
        <w:ind w:firstLine="480" w:firstLineChars="200"/>
        <w:rPr>
          <w:rFonts w:hint="eastAsia" w:ascii="宋体" w:hAnsi="宋体" w:eastAsia="宋体" w:cs="宋体"/>
          <w:color w:val="auto"/>
          <w:sz w:val="24"/>
          <w:szCs w:val="24"/>
          <w:highlight w:val="none"/>
          <w:lang w:val="en-US" w:eastAsia="zh-CN"/>
        </w:rPr>
      </w:pPr>
      <w:r>
        <w:rPr>
          <w:rFonts w:ascii="宋体" w:hAnsi="宋体" w:eastAsia="宋体" w:cs="宋体"/>
          <w:color w:val="auto"/>
          <w:sz w:val="24"/>
          <w:szCs w:val="24"/>
          <w:highlight w:val="none"/>
        </w:rPr>
        <w:t>严格遵循省市公共数据资源登记管理相关规定，按规范完成所有公共数据产品、服务的统一登记、备案与动态管理，纳入全市公共数据资源登记体系。</w:t>
      </w:r>
    </w:p>
    <w:p>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5.公共数据质量治理</w:t>
      </w:r>
    </w:p>
    <w:p>
      <w:pPr>
        <w:spacing w:line="360" w:lineRule="auto"/>
        <w:ind w:firstLine="480" w:firstLineChars="200"/>
        <w:rPr>
          <w:rFonts w:hint="default" w:ascii="宋体" w:hAnsi="宋体" w:eastAsia="宋体" w:cs="宋体"/>
          <w:color w:val="auto"/>
          <w:sz w:val="24"/>
          <w:szCs w:val="24"/>
          <w:highlight w:val="none"/>
          <w:lang w:val="en-US" w:eastAsia="zh-CN"/>
        </w:rPr>
      </w:pPr>
      <w:r>
        <w:rPr>
          <w:rFonts w:ascii="宋体" w:hAnsi="宋体" w:eastAsia="宋体" w:cs="宋体"/>
          <w:color w:val="auto"/>
          <w:sz w:val="24"/>
          <w:szCs w:val="24"/>
          <w:highlight w:val="none"/>
        </w:rPr>
        <w:t>联合市数据资源管理局、各数据提供部门，共建全市公共数据质量管理长效机制；针对数据错误、信息遗漏、更新不及时等问题，常态化发起数据治理需求，全程跟踪整改落实与结果反馈，保障授权运营数据质量合规可用。</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.市场培育</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建立“运营机构+合伙人”开发机制，鼓励各类开发主体通过协议采取合伙人方式参与授权运营工作。运营机构应培育发展合伙人，负责公开招募合伙人并与合伙人签订开发利用协议。运营机构对原始数据进行脱敏，初加工后形成标签、核验、报告、模型、数据样例集等数据产品向合伙人提供服务。合伙人基于运营机构提供的数据产品进行二次开发，形成面向市场的数据产品和服务。</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.制度规范</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运营机构内部应建立明确的运营管理制度，包括但不限于运营管理、入驻/退出、产品开发与运营等制度规范</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协助完善公共数据授权申请流程、供需对接及异议处理机制。</w:t>
      </w:r>
    </w:p>
    <w:p>
      <w:pPr>
        <w:spacing w:line="360" w:lineRule="auto"/>
        <w:ind w:firstLine="482" w:firstLineChars="200"/>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（四）服务考核</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采购人将统筹采用第三方评估、专家评估等方式，对授权运营成效进行定期评估，实现“以评促改，以评促优”。</w:t>
      </w:r>
    </w:p>
    <w:p>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①评估维度</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授权运营空间功能完备性、运营服务质量、应用推广情况、公共数据产品/服务实际成效。</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②结果应用</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评估结果分为“通过”“未通过”和“限期整改”。若通过评估，运营机构可继续承担授权运营工作；若未通过，按照有关规定终止运营机构运营活动；若限期整改，运营机构需制定整改方案，30 日内完成整改并报市数据资源管理局再次评估。</w:t>
      </w:r>
    </w:p>
    <w:p>
      <w:pPr>
        <w:spacing w:line="360" w:lineRule="auto"/>
        <w:ind w:firstLine="482" w:firstLineChars="200"/>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（五）安全责任</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安全保障制度。运营机构承担接收到“原始公共数据”后的数据管理安全主体责任，应落实技术防护、人员管理等安全防护措施并定期开展数据安全风险评估，及时消除安全隐患，同时按要求将风险评估结果和整改情况定期向相关安全监管部门报告和备案。</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应急处置预案。运营机构应编制应急处置预案，建立明确的应急响应流程，包括预警、启动、处置和恢复等环节，建立实时监控系统，对数据运营过程中的异常情况及时进行预警，定期对员工进行数据安全和应急处置等内容的培训，开展应急演练，提高运营参与方在紧急情况下的应对能力和协作效率。</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个人信息保护措施。运营机构应严格落实《中华人民共和国个人信息保护法》相关规定，对涉及个人信息的数据进行去标识化、匿名化处理，确保无法通过技术手段复原个人身份，严格限制原始个人信息的使用场景。</w:t>
      </w:r>
    </w:p>
    <w:p>
      <w:pPr>
        <w:spacing w:line="360" w:lineRule="auto"/>
        <w:ind w:firstLine="482" w:firstLineChars="200"/>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（六）退出机制</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符合以下情形之一的授权运营机构，应按相关程序进行退出： </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1．授权运营协议期满。</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2．申请提前终止授权运营协议。</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3．年度评估结果为“未通过”。</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4．严重违反授权运营协议。</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5．其他违反法律法规的情形。</w:t>
      </w:r>
    </w:p>
    <w:p>
      <w:pPr>
        <w:spacing w:line="360" w:lineRule="auto"/>
        <w:ind w:firstLine="482" w:firstLineChars="200"/>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（七）价格机制和收益分配</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1．成本核算及收入核算机制</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运营机构需在授权范围内构建经营成本和收入核算机制。核算的经营成本主要涵盖数据产品开发费用（包含从公用企业获取数据的费用）、数据安全维护费用、服务体系构建成本等。核算的收入主要包含数据产品销售收入、数据服务收入、数据交易收入等。并将经营成本与收入核算要求明确写入授权运营协议，确保运营活动的规范性和透明度。</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2．收益分配机制</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构建既能彰显效率又能确保公平的公共数据资源收益分配体系，并配套实施动态调整措施。遵循“谁投入、谁贡献、谁受益”相统一的原则，将数据提供部门、运营机构、合伙人三方主体纳入收益分配框架。公共数据资源的授权运营归入政府国有资源（资产）有偿使用范畴，将公共数据有偿使用所获得的收入列入非税收入管理体系。</w:t>
      </w:r>
    </w:p>
    <w:p>
      <w:pPr>
        <w:spacing w:line="360" w:lineRule="auto"/>
        <w:ind w:firstLine="437"/>
        <w:outlineLvl w:val="1"/>
        <w:rPr>
          <w:rFonts w:hint="eastAsia" w:ascii="宋体" w:hAnsi="宋体" w:eastAsia="宋体"/>
          <w:b/>
          <w:color w:val="auto"/>
          <w:sz w:val="24"/>
          <w:szCs w:val="18"/>
          <w:highlight w:val="none"/>
        </w:rPr>
      </w:pPr>
      <w:r>
        <w:rPr>
          <w:rFonts w:hint="eastAsia" w:ascii="宋体" w:hAnsi="宋体" w:eastAsia="宋体"/>
          <w:b/>
          <w:color w:val="auto"/>
          <w:sz w:val="24"/>
          <w:szCs w:val="18"/>
          <w:highlight w:val="none"/>
        </w:rPr>
        <w:t>四、其他要求</w:t>
      </w:r>
    </w:p>
    <w:p>
      <w:pPr>
        <w:spacing w:line="360" w:lineRule="auto"/>
        <w:ind w:firstLine="480" w:firstLineChars="200"/>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rPr>
        <w:t>对公共数据授权运营工作建立需求及服务响应机制，有稳定的专业技术队伍（</w:t>
      </w:r>
      <w:r>
        <w:rPr>
          <w:rFonts w:hint="eastAsia" w:asciiTheme="minorEastAsia" w:hAnsiTheme="minorEastAsia" w:eastAsiaTheme="minorEastAsia" w:cstheme="minorEastAsia"/>
          <w:color w:val="auto"/>
          <w:sz w:val="24"/>
          <w:szCs w:val="24"/>
          <w:highlight w:val="none"/>
          <w:lang w:val="en-US" w:eastAsia="zh-CN"/>
        </w:rPr>
        <w:t>队伍</w:t>
      </w:r>
      <w:r>
        <w:rPr>
          <w:rFonts w:hint="eastAsia" w:asciiTheme="minorEastAsia" w:hAnsiTheme="minorEastAsia" w:eastAsiaTheme="minorEastAsia" w:cstheme="minorEastAsia"/>
          <w:color w:val="auto"/>
          <w:sz w:val="24"/>
          <w:szCs w:val="24"/>
          <w:highlight w:val="none"/>
        </w:rPr>
        <w:t>不少于10人），能</w:t>
      </w:r>
      <w:r>
        <w:rPr>
          <w:rFonts w:hint="eastAsia" w:asciiTheme="minorEastAsia" w:hAnsiTheme="minorEastAsia" w:eastAsiaTheme="minorEastAsia" w:cstheme="minorEastAsia"/>
          <w:color w:val="auto"/>
          <w:sz w:val="24"/>
          <w:szCs w:val="24"/>
          <w:highlight w:val="none"/>
          <w:lang w:val="en-US" w:eastAsia="zh-CN"/>
        </w:rPr>
        <w:t>在1小时内</w:t>
      </w:r>
      <w:r>
        <w:rPr>
          <w:rFonts w:hint="eastAsia" w:asciiTheme="minorEastAsia" w:hAnsiTheme="minorEastAsia" w:eastAsiaTheme="minorEastAsia" w:cstheme="minorEastAsia"/>
          <w:color w:val="auto"/>
          <w:sz w:val="24"/>
          <w:szCs w:val="24"/>
          <w:highlight w:val="none"/>
        </w:rPr>
        <w:t>响应需求并提供专业化服务。</w:t>
      </w:r>
      <w:r>
        <w:rPr>
          <w:rFonts w:hint="eastAsia" w:asciiTheme="minorEastAsia" w:hAnsiTheme="minorEastAsia" w:eastAsiaTheme="minorEastAsia" w:cstheme="minorEastAsia"/>
          <w:b/>
          <w:bCs/>
          <w:color w:val="auto"/>
          <w:sz w:val="24"/>
          <w:szCs w:val="24"/>
          <w:highlight w:val="none"/>
        </w:rPr>
        <w:t>（投标文件中需提供承诺书（格式自拟））</w:t>
      </w:r>
    </w:p>
    <w:p>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为确保公共数据资源开发利用安全可靠，运营机构应有线下场所，搭建数据开发的线下物理环境，通过门禁管控、视频监控等设施筑牢物理安全防线，运用加密传输、访问控制等技术手段保障数据全生命周期安全，同时建立健全数据使用、操作审计等合规管理制度，为数据要素安全运营提供全方位保障。</w:t>
      </w:r>
    </w:p>
    <w:bookmarkEnd w:id="18"/>
    <w:bookmarkEnd w:id="19"/>
    <w:p>
      <w:pPr>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after="0" w:line="360" w:lineRule="auto"/>
        <w:ind w:firstLine="562" w:firstLineChars="200"/>
        <w:textAlignment w:val="auto"/>
        <w:rPr>
          <w:rFonts w:hint="eastAsia" w:ascii="宋体" w:hAnsi="宋体" w:eastAsia="宋体"/>
          <w:b/>
          <w:color w:val="auto"/>
          <w:sz w:val="28"/>
          <w:highlight w:val="none"/>
          <w:lang w:eastAsia="zh-CN"/>
        </w:rPr>
      </w:pPr>
      <w:r>
        <w:rPr>
          <w:rFonts w:hint="eastAsia" w:ascii="宋体" w:hAnsi="宋体" w:eastAsia="宋体"/>
          <w:b/>
          <w:color w:val="auto"/>
          <w:sz w:val="28"/>
          <w:highlight w:val="none"/>
          <w:lang w:eastAsia="zh-CN"/>
        </w:rPr>
        <w:br w:type="page"/>
      </w:r>
    </w:p>
    <w:p>
      <w:pPr>
        <w:spacing w:line="360" w:lineRule="auto"/>
        <w:ind w:firstLine="562" w:firstLineChars="200"/>
        <w:jc w:val="center"/>
        <w:rPr>
          <w:rFonts w:hint="eastAsia" w:ascii="宋体" w:hAnsi="宋体" w:eastAsia="宋体"/>
          <w:b/>
          <w:color w:val="auto"/>
          <w:highlight w:val="none"/>
          <w:lang w:eastAsia="zh-CN"/>
        </w:rPr>
      </w:pPr>
      <w:r>
        <w:rPr>
          <w:rFonts w:hint="eastAsia" w:ascii="宋体" w:hAnsi="宋体" w:eastAsia="宋体"/>
          <w:b/>
          <w:color w:val="auto"/>
          <w:sz w:val="28"/>
          <w:highlight w:val="none"/>
          <w:lang w:eastAsia="zh-CN"/>
        </w:rPr>
        <w:t>第四章  评标方法和标准（</w:t>
      </w:r>
      <w:r>
        <w:rPr>
          <w:rFonts w:hint="eastAsia" w:ascii="宋体" w:hAnsi="宋体" w:eastAsia="宋体"/>
          <w:b/>
          <w:color w:val="auto"/>
          <w:sz w:val="28"/>
          <w:highlight w:val="none"/>
          <w:lang w:val="en-US" w:eastAsia="zh-CN"/>
        </w:rPr>
        <w:t>综合评分</w:t>
      </w:r>
      <w:r>
        <w:rPr>
          <w:rFonts w:hint="eastAsia" w:ascii="宋体" w:hAnsi="宋体" w:eastAsia="宋体"/>
          <w:b/>
          <w:color w:val="auto"/>
          <w:sz w:val="28"/>
          <w:highlight w:val="none"/>
          <w:lang w:eastAsia="zh-CN"/>
        </w:rPr>
        <w:t>法）</w:t>
      </w:r>
    </w:p>
    <w:p>
      <w:pPr>
        <w:adjustRightInd w:val="0"/>
        <w:snapToGrid w:val="0"/>
        <w:spacing w:line="360" w:lineRule="auto"/>
        <w:ind w:firstLine="482" w:firstLineChars="200"/>
        <w:outlineLvl w:val="1"/>
        <w:rPr>
          <w:rFonts w:hint="eastAsia" w:ascii="宋体" w:hAnsi="宋体" w:eastAsia="宋体"/>
          <w:b/>
          <w:color w:val="auto"/>
          <w:highlight w:val="none"/>
          <w:lang w:eastAsia="zh-CN"/>
        </w:rPr>
      </w:pPr>
      <w:r>
        <w:rPr>
          <w:rFonts w:hint="eastAsia" w:ascii="宋体" w:hAnsi="宋体" w:eastAsia="宋体"/>
          <w:b/>
          <w:color w:val="auto"/>
          <w:highlight w:val="none"/>
          <w:lang w:eastAsia="zh-CN"/>
        </w:rPr>
        <w:t>一、总则</w:t>
      </w:r>
    </w:p>
    <w:p>
      <w:pPr>
        <w:adjustRightInd w:val="0"/>
        <w:snapToGrid w:val="0"/>
        <w:spacing w:line="360" w:lineRule="auto"/>
        <w:ind w:firstLine="480" w:firstLineChars="200"/>
        <w:rPr>
          <w:rFonts w:hint="eastAsia" w:ascii="宋体" w:hAnsi="宋体" w:eastAsia="宋体"/>
          <w:color w:val="auto"/>
          <w:highlight w:val="none"/>
          <w:lang w:eastAsia="zh-CN"/>
        </w:rPr>
      </w:pPr>
      <w:r>
        <w:rPr>
          <w:rFonts w:hint="eastAsia" w:ascii="宋体" w:hAnsi="宋体" w:eastAsia="宋体"/>
          <w:color w:val="auto"/>
          <w:highlight w:val="none"/>
          <w:lang w:eastAsia="zh-CN"/>
        </w:rPr>
        <w:t>本项目将按照遴选文件第二章投标人须知的相关要求</w:t>
      </w:r>
      <w:r>
        <w:rPr>
          <w:rFonts w:ascii="宋体" w:hAnsi="宋体" w:eastAsia="宋体"/>
          <w:color w:val="auto"/>
          <w:highlight w:val="none"/>
          <w:lang w:eastAsia="zh-CN"/>
        </w:rPr>
        <w:t>及本章的规定评标。</w:t>
      </w:r>
    </w:p>
    <w:p>
      <w:pPr>
        <w:adjustRightInd w:val="0"/>
        <w:snapToGrid w:val="0"/>
        <w:spacing w:line="360" w:lineRule="auto"/>
        <w:ind w:firstLine="482" w:firstLineChars="200"/>
        <w:outlineLvl w:val="1"/>
        <w:rPr>
          <w:rFonts w:hint="eastAsia" w:ascii="宋体" w:hAnsi="宋体" w:eastAsia="宋体"/>
          <w:b/>
          <w:color w:val="auto"/>
          <w:highlight w:val="none"/>
        </w:rPr>
      </w:pPr>
      <w:r>
        <w:rPr>
          <w:rFonts w:hint="eastAsia" w:ascii="宋体" w:hAnsi="宋体" w:eastAsia="宋体"/>
          <w:b/>
          <w:color w:val="auto"/>
          <w:highlight w:val="none"/>
          <w:lang w:eastAsia="zh-CN"/>
        </w:rPr>
        <w:t>二、</w:t>
      </w:r>
      <w:r>
        <w:rPr>
          <w:rFonts w:hint="eastAsia" w:ascii="宋体" w:hAnsi="宋体" w:eastAsia="宋体"/>
          <w:b/>
          <w:color w:val="auto"/>
          <w:highlight w:val="none"/>
        </w:rPr>
        <w:t>评标方法</w:t>
      </w:r>
    </w:p>
    <w:p>
      <w:pPr>
        <w:pStyle w:val="8"/>
        <w:adjustRightInd w:val="0"/>
        <w:snapToGrid w:val="0"/>
        <w:spacing w:before="0" w:line="360" w:lineRule="auto"/>
        <w:ind w:left="0" w:firstLine="480" w:firstLineChars="200"/>
        <w:rPr>
          <w:rFonts w:hint="eastAsia"/>
          <w:color w:val="auto"/>
          <w:highlight w:val="none"/>
        </w:rPr>
      </w:pPr>
      <w:r>
        <w:rPr>
          <w:rFonts w:hint="eastAsia"/>
          <w:color w:val="auto"/>
          <w:highlight w:val="none"/>
        </w:rPr>
        <w:t>2.1资格审查</w:t>
      </w:r>
    </w:p>
    <w:tbl>
      <w:tblPr>
        <w:tblStyle w:val="24"/>
        <w:tblW w:w="98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816"/>
        <w:gridCol w:w="4147"/>
        <w:gridCol w:w="3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827" w:type="dxa"/>
            <w:gridSpan w:val="4"/>
            <w:tcBorders>
              <w:bottom w:val="single" w:color="auto" w:sz="4" w:space="0"/>
            </w:tcBorders>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仿宋_GB2312"/>
                <w:color w:val="auto"/>
                <w:kern w:val="2"/>
                <w:szCs w:val="20"/>
                <w:highlight w:val="none"/>
                <w:lang w:eastAsia="zh-CN"/>
              </w:rPr>
            </w:pPr>
            <w:r>
              <w:rPr>
                <w:rFonts w:hint="eastAsia" w:ascii="宋体" w:hAnsi="宋体" w:eastAsia="宋体" w:cs="@仿宋_GB2312"/>
                <w:b/>
                <w:color w:val="auto"/>
                <w:kern w:val="2"/>
                <w:szCs w:val="22"/>
                <w:highlight w:val="none"/>
                <w:lang w:eastAsia="zh-CN"/>
              </w:rPr>
              <w:t>资格审查表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tcBorders>
              <w:bottom w:val="single" w:color="auto" w:sz="4" w:space="0"/>
            </w:tcBorders>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仿宋_GB2312"/>
                <w:color w:val="auto"/>
                <w:kern w:val="2"/>
                <w:szCs w:val="20"/>
                <w:highlight w:val="none"/>
                <w:lang w:eastAsia="zh-CN"/>
              </w:rPr>
            </w:pPr>
            <w:r>
              <w:rPr>
                <w:rFonts w:hint="eastAsia" w:ascii="宋体" w:hAnsi="宋体" w:eastAsia="宋体" w:cs="@仿宋_GB2312"/>
                <w:color w:val="auto"/>
                <w:kern w:val="2"/>
                <w:szCs w:val="20"/>
                <w:highlight w:val="none"/>
                <w:lang w:eastAsia="zh-CN"/>
              </w:rPr>
              <w:t>序号</w:t>
            </w:r>
          </w:p>
        </w:tc>
        <w:tc>
          <w:tcPr>
            <w:tcW w:w="1816" w:type="dxa"/>
            <w:tcBorders>
              <w:bottom w:val="single" w:color="auto" w:sz="4" w:space="0"/>
            </w:tcBorders>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仿宋_GB2312"/>
                <w:color w:val="auto"/>
                <w:kern w:val="2"/>
                <w:highlight w:val="none"/>
                <w:lang w:eastAsia="zh-CN"/>
              </w:rPr>
            </w:pPr>
            <w:r>
              <w:rPr>
                <w:rFonts w:hint="eastAsia" w:ascii="宋体" w:hAnsi="宋体" w:eastAsia="宋体" w:cs="@仿宋_GB2312"/>
                <w:color w:val="auto"/>
                <w:kern w:val="2"/>
                <w:highlight w:val="none"/>
                <w:lang w:eastAsia="zh-CN"/>
              </w:rPr>
              <w:t>审查因素</w:t>
            </w:r>
          </w:p>
        </w:tc>
        <w:tc>
          <w:tcPr>
            <w:tcW w:w="4147" w:type="dxa"/>
            <w:tcBorders>
              <w:bottom w:val="single" w:color="auto" w:sz="4" w:space="0"/>
            </w:tcBorders>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仿宋_GB2312"/>
                <w:color w:val="auto"/>
                <w:kern w:val="2"/>
                <w:szCs w:val="20"/>
                <w:highlight w:val="none"/>
                <w:lang w:eastAsia="zh-CN"/>
              </w:rPr>
            </w:pPr>
            <w:r>
              <w:rPr>
                <w:rFonts w:hint="eastAsia" w:ascii="宋体" w:hAnsi="宋体" w:eastAsia="宋体" w:cs="@仿宋_GB2312"/>
                <w:color w:val="auto"/>
                <w:kern w:val="2"/>
                <w:szCs w:val="20"/>
                <w:highlight w:val="none"/>
                <w:lang w:eastAsia="zh-CN"/>
              </w:rPr>
              <w:t>审查内容</w:t>
            </w:r>
          </w:p>
        </w:tc>
        <w:tc>
          <w:tcPr>
            <w:tcW w:w="3139" w:type="dxa"/>
            <w:tcBorders>
              <w:bottom w:val="single" w:color="auto" w:sz="4" w:space="0"/>
            </w:tcBorders>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仿宋_GB2312"/>
                <w:color w:val="auto"/>
                <w:kern w:val="2"/>
                <w:szCs w:val="20"/>
                <w:highlight w:val="none"/>
                <w:lang w:eastAsia="zh-CN"/>
              </w:rPr>
            </w:pPr>
            <w:r>
              <w:rPr>
                <w:rFonts w:hint="eastAsia" w:ascii="宋体" w:hAnsi="宋体" w:eastAsia="宋体" w:cs="@仿宋_GB2312"/>
                <w:color w:val="auto"/>
                <w:kern w:val="2"/>
                <w:szCs w:val="20"/>
                <w:highlight w:val="none"/>
                <w:lang w:eastAsia="zh-CN"/>
              </w:rPr>
              <w:t>格式要求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725" w:type="dxa"/>
            <w:tcBorders>
              <w:bottom w:val="single" w:color="auto" w:sz="4" w:space="0"/>
            </w:tcBorders>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仿宋_GB2312"/>
                <w:color w:val="auto"/>
                <w:kern w:val="2"/>
                <w:szCs w:val="20"/>
                <w:highlight w:val="none"/>
                <w:lang w:eastAsia="zh-CN"/>
              </w:rPr>
            </w:pPr>
            <w:r>
              <w:rPr>
                <w:rFonts w:hint="eastAsia" w:ascii="宋体" w:hAnsi="宋体" w:eastAsia="宋体" w:cs="@仿宋_GB2312"/>
                <w:color w:val="auto"/>
                <w:kern w:val="2"/>
                <w:szCs w:val="20"/>
                <w:highlight w:val="none"/>
                <w:lang w:eastAsia="zh-CN"/>
              </w:rPr>
              <w:t>1</w:t>
            </w:r>
          </w:p>
        </w:tc>
        <w:tc>
          <w:tcPr>
            <w:tcW w:w="1816" w:type="dxa"/>
            <w:tcBorders>
              <w:bottom w:val="single" w:color="auto" w:sz="4" w:space="0"/>
            </w:tcBorders>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仿宋_GB2312"/>
                <w:color w:val="auto"/>
                <w:kern w:val="2"/>
                <w:szCs w:val="28"/>
                <w:highlight w:val="none"/>
                <w:lang w:eastAsia="zh-CN"/>
              </w:rPr>
            </w:pPr>
            <w:r>
              <w:rPr>
                <w:rFonts w:hint="eastAsia" w:ascii="宋体" w:hAnsi="宋体" w:eastAsia="宋体" w:cs="宋体"/>
                <w:color w:val="auto"/>
                <w:spacing w:val="1"/>
                <w:highlight w:val="none"/>
                <w:lang w:val="en-US" w:eastAsia="zh-CN"/>
              </w:rPr>
              <w:t>统一社会信用代码证件</w:t>
            </w:r>
          </w:p>
        </w:tc>
        <w:tc>
          <w:tcPr>
            <w:tcW w:w="4147" w:type="dxa"/>
            <w:tcBorders>
              <w:bottom w:val="single" w:color="auto" w:sz="4" w:space="0"/>
            </w:tcBorders>
            <w:vAlign w:val="center"/>
          </w:tcPr>
          <w:p>
            <w:pPr>
              <w:keepNext w:val="0"/>
              <w:keepLines w:val="0"/>
              <w:suppressLineNumbers w:val="0"/>
              <w:adjustRightInd w:val="0"/>
              <w:snapToGrid w:val="0"/>
              <w:spacing w:before="0" w:beforeAutospacing="0" w:after="0" w:afterAutospacing="0" w:line="360" w:lineRule="auto"/>
              <w:ind w:left="0" w:right="-10"/>
              <w:rPr>
                <w:rFonts w:hint="eastAsia" w:ascii="宋体" w:hAnsi="宋体" w:eastAsia="宋体"/>
                <w:color w:val="auto"/>
                <w:kern w:val="2"/>
                <w:highlight w:val="none"/>
                <w:lang w:eastAsia="zh-CN"/>
              </w:rPr>
            </w:pPr>
            <w:r>
              <w:rPr>
                <w:rFonts w:hint="eastAsia" w:asciiTheme="minorEastAsia" w:hAnsiTheme="minorEastAsia" w:eastAsiaTheme="minorEastAsia" w:cstheme="minorEastAsia"/>
                <w:bCs/>
                <w:color w:val="auto"/>
                <w:sz w:val="24"/>
                <w:szCs w:val="24"/>
                <w:highlight w:val="none"/>
              </w:rPr>
              <w:t>具有有效合法营业执照、税务登记证、组织机构代码证或三证合一营业执照。</w:t>
            </w:r>
          </w:p>
        </w:tc>
        <w:tc>
          <w:tcPr>
            <w:tcW w:w="3139" w:type="dxa"/>
            <w:vAlign w:val="center"/>
          </w:tcPr>
          <w:p>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仿宋_GB2312"/>
                <w:color w:val="auto"/>
                <w:kern w:val="2"/>
                <w:szCs w:val="20"/>
                <w:highlight w:val="none"/>
                <w:lang w:eastAsia="zh-CN"/>
              </w:rPr>
            </w:pPr>
            <w:r>
              <w:rPr>
                <w:rFonts w:hint="eastAsia" w:ascii="宋体" w:hAnsi="宋体" w:eastAsia="宋体"/>
                <w:color w:val="auto"/>
                <w:kern w:val="2"/>
                <w:highlight w:val="none"/>
                <w:lang w:eastAsia="zh-CN"/>
              </w:rPr>
              <w:t>提供材料</w:t>
            </w:r>
            <w:r>
              <w:rPr>
                <w:rFonts w:hint="eastAsia" w:ascii="宋体" w:hAnsi="宋体" w:eastAsia="宋体"/>
                <w:color w:val="auto"/>
                <w:highlight w:val="none"/>
                <w:lang w:eastAsia="zh-CN"/>
              </w:rPr>
              <w:t>复印件</w:t>
            </w:r>
            <w:r>
              <w:rPr>
                <w:rFonts w:hint="eastAsia" w:ascii="宋体" w:hAnsi="宋体" w:eastAsia="宋体"/>
                <w:color w:val="auto"/>
                <w:kern w:val="2"/>
                <w:highlight w:val="none"/>
                <w:lang w:eastAsia="zh-CN"/>
              </w:rPr>
              <w:t>，应完整的体现出材料全部内容。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725" w:type="dxa"/>
            <w:tcBorders>
              <w:bottom w:val="single" w:color="auto" w:sz="4" w:space="0"/>
            </w:tcBorders>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仿宋_GB2312"/>
                <w:color w:val="auto"/>
                <w:kern w:val="2"/>
                <w:szCs w:val="20"/>
                <w:highlight w:val="none"/>
                <w:lang w:eastAsia="zh-CN"/>
              </w:rPr>
            </w:pPr>
            <w:r>
              <w:rPr>
                <w:rFonts w:hint="eastAsia" w:ascii="宋体" w:hAnsi="宋体" w:eastAsia="宋体" w:cs="@仿宋_GB2312"/>
                <w:color w:val="auto"/>
                <w:kern w:val="2"/>
                <w:szCs w:val="20"/>
                <w:highlight w:val="none"/>
                <w:lang w:eastAsia="zh-CN"/>
              </w:rPr>
              <w:t>2</w:t>
            </w:r>
          </w:p>
        </w:tc>
        <w:tc>
          <w:tcPr>
            <w:tcW w:w="1816" w:type="dxa"/>
            <w:tcBorders>
              <w:bottom w:val="single" w:color="auto" w:sz="4" w:space="0"/>
            </w:tcBorders>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仿宋_GB2312"/>
                <w:color w:val="auto"/>
                <w:kern w:val="2"/>
                <w:szCs w:val="28"/>
                <w:highlight w:val="none"/>
                <w:lang w:eastAsia="zh-CN"/>
              </w:rPr>
            </w:pPr>
            <w:r>
              <w:rPr>
                <w:rFonts w:hint="eastAsia" w:ascii="宋体" w:hAnsi="宋体" w:eastAsia="宋体" w:cs="宋体"/>
                <w:color w:val="auto"/>
                <w:spacing w:val="1"/>
                <w:highlight w:val="none"/>
                <w:lang w:val="en-US" w:eastAsia="zh-CN"/>
              </w:rPr>
              <w:t>法定代表人身份证明</w:t>
            </w:r>
          </w:p>
        </w:tc>
        <w:tc>
          <w:tcPr>
            <w:tcW w:w="4147" w:type="dxa"/>
            <w:tcBorders>
              <w:bottom w:val="single" w:color="auto" w:sz="4" w:space="0"/>
            </w:tcBorders>
            <w:vAlign w:val="center"/>
          </w:tcPr>
          <w:p>
            <w:pPr>
              <w:keepNext w:val="0"/>
              <w:keepLines w:val="0"/>
              <w:suppressLineNumbers w:val="0"/>
              <w:adjustRightInd w:val="0"/>
              <w:snapToGrid w:val="0"/>
              <w:spacing w:before="0" w:beforeAutospacing="0" w:after="0" w:afterAutospacing="0" w:line="360" w:lineRule="auto"/>
              <w:ind w:left="0" w:right="-10"/>
              <w:rPr>
                <w:rFonts w:hint="eastAsia" w:ascii="宋体" w:hAnsi="宋体" w:eastAsia="宋体" w:cs="@仿宋_GB2312"/>
                <w:color w:val="auto"/>
                <w:kern w:val="2"/>
                <w:szCs w:val="28"/>
                <w:highlight w:val="none"/>
                <w:lang w:eastAsia="zh-CN"/>
              </w:rPr>
            </w:pPr>
            <w:r>
              <w:rPr>
                <w:rFonts w:hint="eastAsia" w:ascii="宋体" w:hAnsi="宋体" w:eastAsia="宋体"/>
                <w:color w:val="auto"/>
                <w:kern w:val="2"/>
                <w:highlight w:val="none"/>
                <w:lang w:eastAsia="zh-CN"/>
              </w:rPr>
              <w:t>提</w:t>
            </w:r>
            <w:r>
              <w:rPr>
                <w:rFonts w:hint="default" w:ascii="宋体" w:hAnsi="宋体" w:eastAsia="宋体"/>
                <w:color w:val="auto"/>
                <w:kern w:val="2"/>
                <w:highlight w:val="none"/>
                <w:lang w:eastAsia="zh-CN"/>
              </w:rPr>
              <w:t>供符合</w:t>
            </w:r>
            <w:r>
              <w:rPr>
                <w:rFonts w:hint="eastAsia" w:ascii="宋体" w:hAnsi="宋体" w:eastAsia="宋体"/>
                <w:color w:val="auto"/>
                <w:kern w:val="2"/>
                <w:highlight w:val="none"/>
                <w:lang w:eastAsia="zh-CN"/>
              </w:rPr>
              <w:t>遴选文件</w:t>
            </w:r>
            <w:r>
              <w:rPr>
                <w:rFonts w:hint="default" w:ascii="宋体" w:hAnsi="宋体" w:eastAsia="宋体"/>
                <w:color w:val="auto"/>
                <w:kern w:val="2"/>
                <w:highlight w:val="none"/>
                <w:lang w:eastAsia="zh-CN"/>
              </w:rPr>
              <w:t>要求的《</w:t>
            </w:r>
            <w:r>
              <w:rPr>
                <w:rFonts w:hint="eastAsia" w:ascii="宋体" w:hAnsi="宋体" w:eastAsia="宋体" w:cs="宋体"/>
                <w:color w:val="auto"/>
                <w:spacing w:val="1"/>
                <w:highlight w:val="none"/>
                <w:lang w:val="en-US" w:eastAsia="zh-CN"/>
              </w:rPr>
              <w:t>法定代表人身份证明</w:t>
            </w:r>
            <w:r>
              <w:rPr>
                <w:rFonts w:hint="default" w:ascii="宋体" w:hAnsi="宋体" w:eastAsia="宋体"/>
                <w:color w:val="auto"/>
                <w:kern w:val="2"/>
                <w:highlight w:val="none"/>
                <w:lang w:eastAsia="zh-CN"/>
              </w:rPr>
              <w:t>》</w:t>
            </w:r>
            <w:r>
              <w:rPr>
                <w:rFonts w:hint="eastAsia" w:ascii="宋体" w:hAnsi="宋体" w:eastAsia="宋体"/>
                <w:color w:val="auto"/>
                <w:kern w:val="2"/>
                <w:highlight w:val="none"/>
                <w:lang w:eastAsia="zh-CN"/>
              </w:rPr>
              <w:t>。</w:t>
            </w:r>
          </w:p>
        </w:tc>
        <w:tc>
          <w:tcPr>
            <w:tcW w:w="3139" w:type="dxa"/>
            <w:vAlign w:val="center"/>
          </w:tcPr>
          <w:p>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olor w:val="auto"/>
                <w:kern w:val="2"/>
                <w:highlight w:val="none"/>
                <w:lang w:eastAsia="zh-CN"/>
              </w:rPr>
            </w:pPr>
            <w:r>
              <w:rPr>
                <w:rFonts w:hint="eastAsia" w:ascii="宋体" w:hAnsi="宋体" w:eastAsia="宋体" w:cs="@仿宋_GB2312"/>
                <w:color w:val="auto"/>
                <w:kern w:val="2"/>
                <w:szCs w:val="20"/>
                <w:highlight w:val="none"/>
                <w:lang w:eastAsia="zh-CN"/>
              </w:rPr>
              <w:t>详见第六章投标文件格式。</w:t>
            </w:r>
          </w:p>
        </w:tc>
      </w:tr>
    </w:tbl>
    <w:p>
      <w:pPr>
        <w:adjustRightInd w:val="0"/>
        <w:snapToGrid w:val="0"/>
        <w:spacing w:line="360" w:lineRule="auto"/>
        <w:ind w:firstLine="482" w:firstLineChars="200"/>
        <w:rPr>
          <w:rFonts w:hint="eastAsia" w:ascii="宋体" w:hAnsi="宋体" w:eastAsia="宋体"/>
          <w:color w:val="auto"/>
          <w:highlight w:val="none"/>
          <w:lang w:eastAsia="zh-CN"/>
        </w:rPr>
      </w:pPr>
      <w:r>
        <w:rPr>
          <w:rFonts w:hint="eastAsia" w:ascii="宋体" w:hAnsi="宋体" w:eastAsia="宋体"/>
          <w:b/>
          <w:bCs/>
          <w:color w:val="auto"/>
          <w:highlight w:val="none"/>
          <w:lang w:eastAsia="zh-CN"/>
        </w:rPr>
        <w:t>资格审查指标通过标准：</w:t>
      </w:r>
      <w:r>
        <w:rPr>
          <w:rFonts w:hint="eastAsia" w:ascii="宋体" w:hAnsi="宋体" w:eastAsia="宋体"/>
          <w:color w:val="auto"/>
          <w:highlight w:val="none"/>
          <w:lang w:eastAsia="zh-CN"/>
        </w:rPr>
        <w:t>投标人必须通过资格审查表中的全部评审指标。</w:t>
      </w:r>
    </w:p>
    <w:p>
      <w:pPr>
        <w:adjustRightInd w:val="0"/>
        <w:snapToGrid w:val="0"/>
        <w:spacing w:line="360" w:lineRule="auto"/>
        <w:ind w:firstLine="480" w:firstLineChars="200"/>
        <w:outlineLvl w:val="2"/>
        <w:rPr>
          <w:rFonts w:hint="eastAsia" w:ascii="宋体" w:hAnsi="宋体" w:eastAsia="宋体"/>
          <w:color w:val="auto"/>
          <w:highlight w:val="none"/>
          <w:lang w:eastAsia="zh-CN"/>
        </w:rPr>
      </w:pPr>
      <w:r>
        <w:rPr>
          <w:rFonts w:hint="eastAsia" w:ascii="宋体" w:hAnsi="宋体" w:eastAsia="宋体"/>
          <w:color w:val="auto"/>
          <w:highlight w:val="none"/>
          <w:lang w:eastAsia="zh-CN"/>
        </w:rPr>
        <w:t>2.2符合性审查</w:t>
      </w:r>
    </w:p>
    <w:p>
      <w:pPr>
        <w:adjustRightInd w:val="0"/>
        <w:snapToGrid w:val="0"/>
        <w:spacing w:line="360" w:lineRule="auto"/>
        <w:ind w:firstLine="480" w:firstLineChars="200"/>
        <w:rPr>
          <w:rFonts w:hint="eastAsia" w:ascii="宋体" w:hAnsi="宋体" w:eastAsia="宋体"/>
          <w:color w:val="auto"/>
          <w:highlight w:val="none"/>
        </w:rPr>
      </w:pPr>
      <w:r>
        <w:rPr>
          <w:rFonts w:hint="eastAsia" w:ascii="宋体" w:hAnsi="宋体" w:eastAsia="宋体"/>
          <w:color w:val="auto"/>
          <w:highlight w:val="none"/>
          <w:lang w:eastAsia="zh-CN"/>
        </w:rPr>
        <w:t>评标委员会对通过资格审查的投标人的投标文件进行符合性审查，以确定其是否满足遴选文件的实质性要求。</w:t>
      </w:r>
      <w:r>
        <w:rPr>
          <w:rFonts w:hint="eastAsia" w:ascii="宋体" w:hAnsi="宋体" w:eastAsia="宋体"/>
          <w:color w:val="auto"/>
          <w:highlight w:val="none"/>
        </w:rPr>
        <w:t>符合性审查表如下：</w:t>
      </w:r>
    </w:p>
    <w:tbl>
      <w:tblPr>
        <w:tblStyle w:val="24"/>
        <w:tblW w:w="9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7"/>
        <w:gridCol w:w="1946"/>
        <w:gridCol w:w="4190"/>
        <w:gridCol w:w="2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379" w:type="dxa"/>
            <w:gridSpan w:val="4"/>
            <w:tcBorders>
              <w:bottom w:val="single" w:color="auto" w:sz="4" w:space="0"/>
            </w:tcBorders>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b/>
                <w:bCs/>
                <w:color w:val="auto"/>
                <w:highlight w:val="none"/>
              </w:rPr>
            </w:pPr>
            <w:r>
              <w:rPr>
                <w:rFonts w:hint="eastAsia" w:ascii="宋体" w:hAnsi="宋体" w:eastAsia="宋体"/>
                <w:b/>
                <w:bCs/>
                <w:color w:val="auto"/>
                <w:highlight w:val="none"/>
              </w:rPr>
              <w:t>符合性审查表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97" w:type="dxa"/>
            <w:tcBorders>
              <w:bottom w:val="single" w:color="auto" w:sz="4" w:space="0"/>
            </w:tcBorders>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highlight w:val="none"/>
              </w:rPr>
            </w:pPr>
            <w:r>
              <w:rPr>
                <w:rFonts w:hint="eastAsia" w:ascii="宋体" w:hAnsi="宋体" w:eastAsia="宋体"/>
                <w:color w:val="auto"/>
                <w:highlight w:val="none"/>
              </w:rPr>
              <w:t>序号</w:t>
            </w:r>
          </w:p>
        </w:tc>
        <w:tc>
          <w:tcPr>
            <w:tcW w:w="1946" w:type="dxa"/>
            <w:tcBorders>
              <w:bottom w:val="single" w:color="auto" w:sz="4" w:space="0"/>
            </w:tcBorders>
            <w:vAlign w:val="center"/>
          </w:tcPr>
          <w:p>
            <w:pPr>
              <w:pStyle w:val="62"/>
              <w:keepNext w:val="0"/>
              <w:keepLines w:val="0"/>
              <w:suppressLineNumbers w:val="0"/>
              <w:pBdr>
                <w:bottom w:val="none" w:color="auto" w:sz="0" w:space="0"/>
              </w:pBdr>
              <w:tabs>
                <w:tab w:val="clear" w:pos="4153"/>
                <w:tab w:val="clear" w:pos="8306"/>
              </w:tabs>
              <w:snapToGrid w:val="0"/>
              <w:spacing w:before="0" w:beforeAutospacing="0" w:after="0" w:afterAutospacing="0" w:line="360" w:lineRule="auto"/>
              <w:ind w:left="0" w:right="-10"/>
              <w:jc w:val="center"/>
              <w:textAlignment w:val="auto"/>
              <w:rPr>
                <w:rFonts w:hint="eastAsia" w:ascii="宋体" w:hAnsi="宋体" w:eastAsia="宋体" w:cs="@仿宋_GB2312"/>
                <w:color w:val="auto"/>
                <w:kern w:val="2"/>
                <w:highlight w:val="none"/>
                <w:lang w:eastAsia="zh-CN"/>
              </w:rPr>
            </w:pPr>
            <w:r>
              <w:rPr>
                <w:rFonts w:hint="eastAsia" w:ascii="宋体" w:hAnsi="宋体" w:eastAsia="宋体" w:cs="@仿宋_GB2312"/>
                <w:color w:val="auto"/>
                <w:kern w:val="2"/>
                <w:highlight w:val="none"/>
                <w:lang w:eastAsia="zh-CN"/>
              </w:rPr>
              <w:t>审查指标</w:t>
            </w:r>
          </w:p>
        </w:tc>
        <w:tc>
          <w:tcPr>
            <w:tcW w:w="4190" w:type="dxa"/>
            <w:tcBorders>
              <w:bottom w:val="single" w:color="auto" w:sz="4" w:space="0"/>
            </w:tcBorders>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仿宋_GB2312"/>
                <w:color w:val="auto"/>
                <w:kern w:val="2"/>
                <w:szCs w:val="20"/>
                <w:highlight w:val="none"/>
                <w:lang w:eastAsia="zh-CN"/>
              </w:rPr>
            </w:pPr>
            <w:r>
              <w:rPr>
                <w:rFonts w:hint="eastAsia" w:ascii="宋体" w:hAnsi="宋体" w:eastAsia="宋体" w:cs="@仿宋_GB2312"/>
                <w:color w:val="auto"/>
                <w:kern w:val="2"/>
                <w:szCs w:val="20"/>
                <w:highlight w:val="none"/>
                <w:lang w:eastAsia="zh-CN"/>
              </w:rPr>
              <w:t>审查标准</w:t>
            </w:r>
          </w:p>
        </w:tc>
        <w:tc>
          <w:tcPr>
            <w:tcW w:w="2246" w:type="dxa"/>
            <w:tcBorders>
              <w:bottom w:val="single" w:color="auto" w:sz="4" w:space="0"/>
            </w:tcBorders>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highlight w:val="none"/>
              </w:rPr>
            </w:pPr>
            <w:r>
              <w:rPr>
                <w:rFonts w:hint="eastAsia" w:ascii="宋体" w:hAnsi="宋体" w:eastAsia="宋体"/>
                <w:color w:val="auto"/>
                <w:highlight w:val="none"/>
              </w:rPr>
              <w:t>格式要求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highlight w:val="none"/>
              </w:rPr>
            </w:pPr>
            <w:r>
              <w:rPr>
                <w:rFonts w:hint="eastAsia" w:ascii="宋体" w:hAnsi="宋体" w:eastAsia="宋体"/>
                <w:color w:val="auto"/>
                <w:highlight w:val="none"/>
              </w:rPr>
              <w:t>1</w:t>
            </w:r>
          </w:p>
        </w:tc>
        <w:tc>
          <w:tcPr>
            <w:tcW w:w="1946" w:type="dxa"/>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Cs w:val="28"/>
                <w:highlight w:val="none"/>
              </w:rPr>
            </w:pPr>
            <w:r>
              <w:rPr>
                <w:rFonts w:hint="eastAsia" w:ascii="宋体" w:hAnsi="宋体" w:eastAsia="宋体" w:cs="宋体"/>
                <w:color w:val="auto"/>
                <w:spacing w:val="1"/>
                <w:highlight w:val="none"/>
                <w:lang w:val="en-US" w:eastAsia="zh-CN"/>
              </w:rPr>
              <w:t>铜陵市公共数据资源授权运营机构申请表</w:t>
            </w:r>
          </w:p>
        </w:tc>
        <w:tc>
          <w:tcPr>
            <w:tcW w:w="4190" w:type="dxa"/>
            <w:vAlign w:val="center"/>
          </w:tcPr>
          <w:p>
            <w:pPr>
              <w:keepNext w:val="0"/>
              <w:keepLines w:val="0"/>
              <w:suppressLineNumbers w:val="0"/>
              <w:adjustRightInd w:val="0"/>
              <w:snapToGrid w:val="0"/>
              <w:spacing w:before="0" w:beforeAutospacing="0" w:after="0" w:afterAutospacing="0" w:line="360" w:lineRule="auto"/>
              <w:ind w:left="0" w:right="-10"/>
              <w:rPr>
                <w:rFonts w:hint="eastAsia" w:ascii="宋体" w:hAnsi="宋体" w:eastAsia="宋体"/>
                <w:color w:val="auto"/>
                <w:szCs w:val="28"/>
                <w:highlight w:val="none"/>
                <w:lang w:eastAsia="zh-CN"/>
              </w:rPr>
            </w:pPr>
            <w:r>
              <w:rPr>
                <w:rFonts w:hint="eastAsia" w:ascii="宋体" w:hAnsi="宋体" w:eastAsia="宋体"/>
                <w:color w:val="auto"/>
                <w:szCs w:val="28"/>
                <w:highlight w:val="none"/>
                <w:lang w:eastAsia="zh-CN"/>
              </w:rPr>
              <w:t>格式、填写要求符合遴选文件规定</w:t>
            </w:r>
          </w:p>
        </w:tc>
        <w:tc>
          <w:tcPr>
            <w:tcW w:w="2246" w:type="dxa"/>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highlight w:val="none"/>
                <w:lang w:eastAsia="zh-CN"/>
              </w:rPr>
            </w:pPr>
            <w:r>
              <w:rPr>
                <w:rFonts w:hint="eastAsia" w:ascii="宋体" w:hAnsi="宋体" w:eastAsia="宋体"/>
                <w:color w:val="auto"/>
                <w:highlight w:val="none"/>
                <w:lang w:eastAsia="zh-CN"/>
              </w:rPr>
              <w:t>详见第六章投标文件格式。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highlight w:val="none"/>
              </w:rPr>
            </w:pPr>
            <w:r>
              <w:rPr>
                <w:rFonts w:hint="eastAsia" w:ascii="宋体" w:hAnsi="宋体" w:eastAsia="宋体"/>
                <w:color w:val="auto"/>
                <w:highlight w:val="none"/>
              </w:rPr>
              <w:t>2</w:t>
            </w:r>
          </w:p>
        </w:tc>
        <w:tc>
          <w:tcPr>
            <w:tcW w:w="1946" w:type="dxa"/>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Cs w:val="28"/>
                <w:highlight w:val="none"/>
              </w:rPr>
            </w:pPr>
            <w:r>
              <w:rPr>
                <w:rFonts w:hint="eastAsia" w:ascii="宋体" w:hAnsi="宋体" w:eastAsia="宋体" w:cs="宋体"/>
                <w:color w:val="auto"/>
                <w:spacing w:val="1"/>
                <w:highlight w:val="none"/>
                <w:lang w:val="en-US" w:eastAsia="zh-CN"/>
              </w:rPr>
              <w:t>经办人授权委托书</w:t>
            </w:r>
          </w:p>
        </w:tc>
        <w:tc>
          <w:tcPr>
            <w:tcW w:w="4190" w:type="dxa"/>
            <w:vAlign w:val="center"/>
          </w:tcPr>
          <w:p>
            <w:pPr>
              <w:keepNext w:val="0"/>
              <w:keepLines w:val="0"/>
              <w:suppressLineNumbers w:val="0"/>
              <w:adjustRightInd w:val="0"/>
              <w:snapToGrid w:val="0"/>
              <w:spacing w:before="0" w:beforeAutospacing="0" w:after="0" w:afterAutospacing="0" w:line="360" w:lineRule="auto"/>
              <w:ind w:left="0" w:right="-10"/>
              <w:rPr>
                <w:rFonts w:hint="eastAsia" w:ascii="宋体" w:hAnsi="宋体" w:eastAsia="宋体"/>
                <w:color w:val="auto"/>
                <w:szCs w:val="28"/>
                <w:highlight w:val="none"/>
                <w:lang w:eastAsia="zh-CN"/>
              </w:rPr>
            </w:pPr>
            <w:r>
              <w:rPr>
                <w:rFonts w:hint="eastAsia" w:ascii="宋体" w:hAnsi="宋体" w:eastAsia="宋体"/>
                <w:color w:val="auto"/>
                <w:szCs w:val="28"/>
                <w:highlight w:val="none"/>
                <w:lang w:eastAsia="zh-CN"/>
              </w:rPr>
              <w:t>格式、填写要求符合遴选文件规定</w:t>
            </w:r>
          </w:p>
        </w:tc>
        <w:tc>
          <w:tcPr>
            <w:tcW w:w="2246" w:type="dxa"/>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highlight w:val="none"/>
                <w:lang w:eastAsia="zh-CN"/>
              </w:rPr>
            </w:pPr>
            <w:r>
              <w:rPr>
                <w:rFonts w:hint="eastAsia" w:ascii="宋体" w:hAnsi="宋体" w:eastAsia="宋体"/>
                <w:color w:val="auto"/>
                <w:highlight w:val="none"/>
                <w:lang w:eastAsia="zh-CN"/>
              </w:rPr>
              <w:t>详见第六章投标文件格式。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highlight w:val="none"/>
              </w:rPr>
            </w:pPr>
            <w:r>
              <w:rPr>
                <w:rFonts w:hint="default" w:ascii="宋体" w:hAnsi="宋体" w:eastAsia="宋体"/>
                <w:color w:val="auto"/>
                <w:highlight w:val="none"/>
              </w:rPr>
              <w:t>3</w:t>
            </w:r>
          </w:p>
        </w:tc>
        <w:tc>
          <w:tcPr>
            <w:tcW w:w="1946" w:type="dxa"/>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Cs w:val="28"/>
                <w:highlight w:val="none"/>
              </w:rPr>
            </w:pPr>
            <w:r>
              <w:rPr>
                <w:rFonts w:hint="eastAsia" w:ascii="宋体" w:hAnsi="宋体" w:eastAsia="宋体" w:cs="宋体"/>
                <w:color w:val="auto"/>
                <w:spacing w:val="1"/>
                <w:highlight w:val="none"/>
                <w:lang w:val="en-US" w:eastAsia="zh-CN"/>
              </w:rPr>
              <w:t>数据安全和公共数据运营平台开发承诺书</w:t>
            </w:r>
          </w:p>
        </w:tc>
        <w:tc>
          <w:tcPr>
            <w:tcW w:w="4190" w:type="dxa"/>
            <w:vAlign w:val="center"/>
          </w:tcPr>
          <w:p>
            <w:pPr>
              <w:keepNext w:val="0"/>
              <w:keepLines w:val="0"/>
              <w:suppressLineNumbers w:val="0"/>
              <w:adjustRightInd w:val="0"/>
              <w:snapToGrid w:val="0"/>
              <w:spacing w:before="0" w:beforeAutospacing="0" w:after="0" w:afterAutospacing="0" w:line="360" w:lineRule="auto"/>
              <w:ind w:left="0" w:right="-10"/>
              <w:rPr>
                <w:rFonts w:hint="eastAsia" w:ascii="宋体" w:hAnsi="宋体" w:eastAsia="宋体"/>
                <w:color w:val="auto"/>
                <w:szCs w:val="28"/>
                <w:highlight w:val="none"/>
                <w:lang w:eastAsia="zh-CN"/>
              </w:rPr>
            </w:pPr>
            <w:r>
              <w:rPr>
                <w:rFonts w:hint="eastAsia" w:ascii="宋体" w:hAnsi="宋体" w:eastAsia="宋体"/>
                <w:color w:val="auto"/>
                <w:szCs w:val="28"/>
                <w:highlight w:val="none"/>
                <w:lang w:eastAsia="zh-CN"/>
              </w:rPr>
              <w:t>格式、填写要求符合遴选文件规定</w:t>
            </w:r>
          </w:p>
        </w:tc>
        <w:tc>
          <w:tcPr>
            <w:tcW w:w="2246" w:type="dxa"/>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highlight w:val="none"/>
                <w:lang w:eastAsia="zh-CN"/>
              </w:rPr>
            </w:pPr>
            <w:r>
              <w:rPr>
                <w:rFonts w:hint="eastAsia" w:ascii="宋体" w:hAnsi="宋体" w:eastAsia="宋体"/>
                <w:color w:val="auto"/>
                <w:highlight w:val="none"/>
                <w:lang w:eastAsia="zh-CN"/>
              </w:rPr>
              <w:t>详见第六章投标文件格式。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highlight w:val="none"/>
                <w:lang w:eastAsia="zh-CN"/>
              </w:rPr>
            </w:pPr>
            <w:r>
              <w:rPr>
                <w:rFonts w:hint="eastAsia" w:ascii="宋体" w:hAnsi="宋体" w:eastAsia="宋体"/>
                <w:color w:val="auto"/>
                <w:highlight w:val="none"/>
                <w:lang w:eastAsia="zh-CN"/>
              </w:rPr>
              <w:t>4</w:t>
            </w:r>
          </w:p>
        </w:tc>
        <w:tc>
          <w:tcPr>
            <w:tcW w:w="1946" w:type="dxa"/>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Cs w:val="28"/>
                <w:highlight w:val="none"/>
                <w:lang w:eastAsia="zh-CN"/>
              </w:rPr>
            </w:pPr>
            <w:r>
              <w:rPr>
                <w:rFonts w:hint="eastAsia" w:ascii="宋体" w:hAnsi="宋体" w:eastAsia="宋体" w:cs="宋体"/>
                <w:color w:val="auto"/>
                <w:spacing w:val="1"/>
                <w:highlight w:val="none"/>
                <w:lang w:val="en-US" w:eastAsia="zh-CN"/>
              </w:rPr>
              <w:t>无重大违法记录承诺书</w:t>
            </w:r>
          </w:p>
        </w:tc>
        <w:tc>
          <w:tcPr>
            <w:tcW w:w="4190" w:type="dxa"/>
            <w:vAlign w:val="center"/>
          </w:tcPr>
          <w:p>
            <w:pPr>
              <w:keepNext w:val="0"/>
              <w:keepLines w:val="0"/>
              <w:suppressLineNumbers w:val="0"/>
              <w:adjustRightInd w:val="0"/>
              <w:snapToGrid w:val="0"/>
              <w:spacing w:before="0" w:beforeAutospacing="0" w:after="0" w:afterAutospacing="0" w:line="360" w:lineRule="auto"/>
              <w:ind w:left="0" w:right="-10"/>
              <w:rPr>
                <w:rFonts w:hint="eastAsia" w:ascii="宋体" w:hAnsi="宋体" w:eastAsia="宋体"/>
                <w:color w:val="auto"/>
                <w:szCs w:val="28"/>
                <w:highlight w:val="none"/>
                <w:lang w:eastAsia="zh-CN"/>
              </w:rPr>
            </w:pPr>
            <w:r>
              <w:rPr>
                <w:rFonts w:hint="eastAsia" w:ascii="宋体" w:hAnsi="宋体" w:eastAsia="宋体"/>
                <w:color w:val="auto"/>
                <w:szCs w:val="28"/>
                <w:highlight w:val="none"/>
                <w:lang w:eastAsia="zh-CN"/>
              </w:rPr>
              <w:t>格式、填写要求符合遴选文件规定</w:t>
            </w:r>
          </w:p>
        </w:tc>
        <w:tc>
          <w:tcPr>
            <w:tcW w:w="2246" w:type="dxa"/>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highlight w:val="none"/>
                <w:lang w:eastAsia="zh-CN"/>
              </w:rPr>
            </w:pPr>
            <w:r>
              <w:rPr>
                <w:rFonts w:hint="eastAsia" w:ascii="宋体" w:hAnsi="宋体" w:eastAsia="宋体"/>
                <w:color w:val="auto"/>
                <w:highlight w:val="none"/>
                <w:lang w:eastAsia="zh-CN"/>
              </w:rPr>
              <w:t>详见第六章投标文件格式。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vAlign w:val="center"/>
          </w:tcPr>
          <w:p>
            <w:pPr>
              <w:pStyle w:val="48"/>
              <w:keepNext w:val="0"/>
              <w:keepLines w:val="0"/>
              <w:suppressLineNumbers w:val="0"/>
              <w:wordWrap w:val="0"/>
              <w:adjustRightInd w:val="0"/>
              <w:snapToGrid w:val="0"/>
              <w:spacing w:before="0" w:beforeAutospacing="0" w:after="0" w:afterAutospacing="0" w:line="360" w:lineRule="auto"/>
              <w:ind w:left="0" w:right="0"/>
              <w:jc w:val="center"/>
              <w:rPr>
                <w:rFonts w:hint="eastAsia" w:ascii="宋体" w:hAnsi="宋体" w:cs="宋体"/>
                <w:color w:val="auto"/>
                <w:szCs w:val="24"/>
                <w:highlight w:val="none"/>
              </w:rPr>
            </w:pPr>
            <w:r>
              <w:rPr>
                <w:rFonts w:hint="eastAsia" w:ascii="宋体" w:hAnsi="宋体" w:cs="宋体"/>
                <w:color w:val="auto"/>
                <w:szCs w:val="24"/>
                <w:highlight w:val="none"/>
              </w:rPr>
              <w:t>5</w:t>
            </w:r>
          </w:p>
        </w:tc>
        <w:tc>
          <w:tcPr>
            <w:tcW w:w="1946" w:type="dxa"/>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Cs w:val="28"/>
                <w:highlight w:val="none"/>
              </w:rPr>
            </w:pPr>
            <w:r>
              <w:rPr>
                <w:rFonts w:hint="eastAsia" w:ascii="宋体" w:hAnsi="宋体" w:eastAsia="宋体"/>
                <w:color w:val="auto"/>
                <w:szCs w:val="28"/>
                <w:highlight w:val="none"/>
              </w:rPr>
              <w:t>其他要求</w:t>
            </w:r>
          </w:p>
        </w:tc>
        <w:tc>
          <w:tcPr>
            <w:tcW w:w="4190" w:type="dxa"/>
            <w:vAlign w:val="center"/>
          </w:tcPr>
          <w:p>
            <w:pPr>
              <w:keepNext w:val="0"/>
              <w:keepLines w:val="0"/>
              <w:suppressLineNumbers w:val="0"/>
              <w:adjustRightInd w:val="0"/>
              <w:snapToGrid w:val="0"/>
              <w:spacing w:before="0" w:beforeAutospacing="0" w:after="0" w:afterAutospacing="0" w:line="360" w:lineRule="auto"/>
              <w:ind w:left="0" w:right="-10"/>
              <w:rPr>
                <w:rFonts w:hint="eastAsia" w:ascii="宋体" w:hAnsi="宋体" w:eastAsia="宋体"/>
                <w:color w:val="auto"/>
                <w:szCs w:val="28"/>
                <w:highlight w:val="none"/>
                <w:lang w:eastAsia="zh-CN"/>
              </w:rPr>
            </w:pPr>
            <w:r>
              <w:rPr>
                <w:rFonts w:hint="eastAsia" w:ascii="宋体" w:hAnsi="宋体" w:eastAsia="宋体"/>
                <w:color w:val="auto"/>
                <w:szCs w:val="28"/>
                <w:highlight w:val="none"/>
                <w:lang w:eastAsia="zh-CN"/>
              </w:rPr>
              <w:t>符合法律、行政法规规定的其他条件或遴选文件列明的其他实质性要求</w:t>
            </w:r>
          </w:p>
        </w:tc>
        <w:tc>
          <w:tcPr>
            <w:tcW w:w="2246" w:type="dxa"/>
            <w:vAlign w:val="center"/>
          </w:tcPr>
          <w:p>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highlight w:val="none"/>
                <w:lang w:eastAsia="zh-CN"/>
              </w:rPr>
            </w:pPr>
          </w:p>
        </w:tc>
      </w:tr>
    </w:tbl>
    <w:p>
      <w:pPr>
        <w:adjustRightInd w:val="0"/>
        <w:snapToGrid w:val="0"/>
        <w:spacing w:line="360" w:lineRule="auto"/>
        <w:ind w:firstLine="482" w:firstLineChars="200"/>
        <w:outlineLvl w:val="1"/>
        <w:rPr>
          <w:rFonts w:hint="eastAsia" w:ascii="宋体" w:hAnsi="宋体" w:eastAsia="宋体" w:cs="Arial"/>
          <w:color w:val="auto"/>
          <w:kern w:val="2"/>
          <w:highlight w:val="none"/>
          <w:lang w:eastAsia="zh-CN"/>
        </w:rPr>
      </w:pPr>
      <w:r>
        <w:rPr>
          <w:rFonts w:hint="eastAsia" w:ascii="宋体" w:hAnsi="宋体" w:eastAsia="宋体"/>
          <w:b/>
          <w:bCs/>
          <w:color w:val="auto"/>
          <w:highlight w:val="none"/>
          <w:lang w:eastAsia="zh-CN"/>
        </w:rPr>
        <w:t>符合性审查指标通过标准：</w:t>
      </w:r>
      <w:r>
        <w:rPr>
          <w:rFonts w:hint="eastAsia" w:ascii="宋体" w:hAnsi="宋体" w:eastAsia="宋体"/>
          <w:color w:val="auto"/>
          <w:highlight w:val="none"/>
          <w:lang w:eastAsia="zh-CN"/>
        </w:rPr>
        <w:t>投标人必须通过符合性审查表中的全部评审指标。</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outlineLvl w:val="2"/>
        <w:rPr>
          <w:rFonts w:ascii="宋体" w:hAnsi="宋体" w:eastAsia="宋体"/>
          <w:color w:val="auto"/>
          <w:sz w:val="24"/>
          <w:highlight w:val="none"/>
        </w:rPr>
      </w:pP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详细审查</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.1</w:t>
      </w:r>
      <w:r>
        <w:rPr>
          <w:rFonts w:hint="eastAsia" w:ascii="宋体" w:hAnsi="宋体" w:eastAsia="宋体"/>
          <w:color w:val="auto"/>
          <w:sz w:val="24"/>
          <w:highlight w:val="none"/>
        </w:rPr>
        <w:t>评标委员会按照下表对投标文件进行详细审查和评分。</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.2本项目综合评分满分为</w:t>
      </w:r>
      <w:r>
        <w:rPr>
          <w:rFonts w:hint="eastAsia" w:ascii="宋体" w:hAnsi="宋体" w:eastAsia="宋体"/>
          <w:color w:val="auto"/>
          <w:sz w:val="24"/>
          <w:highlight w:val="none"/>
          <w:lang w:val="en-US" w:eastAsia="zh-CN"/>
        </w:rPr>
        <w:t>50</w:t>
      </w:r>
      <w:r>
        <w:rPr>
          <w:rFonts w:hint="eastAsia" w:ascii="宋体" w:hAnsi="宋体" w:eastAsia="宋体"/>
          <w:color w:val="auto"/>
          <w:sz w:val="24"/>
          <w:highlight w:val="none"/>
        </w:rPr>
        <w:t>分，其中：技术资信分值占总分值的权重为</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100</w:t>
      </w:r>
      <w:r>
        <w:rPr>
          <w:rFonts w:ascii="宋体" w:hAnsi="宋体" w:eastAsia="宋体"/>
          <w:color w:val="auto"/>
          <w:sz w:val="24"/>
          <w:highlight w:val="none"/>
        </w:rPr>
        <w:t>%，价格分值占总分值的权重为</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w:t>
      </w:r>
      <w:r>
        <w:rPr>
          <w:rFonts w:ascii="宋体" w:hAnsi="宋体" w:eastAsia="宋体"/>
          <w:color w:val="auto"/>
          <w:sz w:val="24"/>
          <w:highlight w:val="none"/>
          <w:u w:val="single"/>
        </w:rPr>
        <w:t xml:space="preserve"> </w:t>
      </w:r>
      <w:r>
        <w:rPr>
          <w:rFonts w:ascii="宋体" w:hAnsi="宋体" w:eastAsia="宋体"/>
          <w:color w:val="auto"/>
          <w:sz w:val="24"/>
          <w:highlight w:val="none"/>
        </w:rPr>
        <w:t>%。具体评分细则如下：</w:t>
      </w:r>
    </w:p>
    <w:tbl>
      <w:tblPr>
        <w:tblStyle w:val="24"/>
        <w:tblW w:w="9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8"/>
        <w:gridCol w:w="1370"/>
        <w:gridCol w:w="5671"/>
        <w:gridCol w:w="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398" w:type="dxa"/>
            <w:shd w:val="clear" w:color="auto" w:fill="FFFFFF"/>
            <w:vAlign w:val="center"/>
          </w:tcPr>
          <w:p>
            <w:pPr>
              <w:keepNext w:val="0"/>
              <w:keepLines w:val="0"/>
              <w:suppressLineNumbers w:val="0"/>
              <w:spacing w:before="0" w:beforeAutospacing="0" w:after="0" w:afterAutospacing="0"/>
              <w:ind w:left="0" w:right="0"/>
              <w:jc w:val="center"/>
              <w:textAlignment w:val="center"/>
              <w:rPr>
                <w:rFonts w:hint="default" w:ascii="宋体" w:hAnsi="宋体" w:eastAsia="宋体" w:cs="宋体"/>
                <w:b/>
                <w:bCs/>
                <w:color w:val="auto"/>
                <w:highlight w:val="none"/>
              </w:rPr>
            </w:pPr>
            <w:r>
              <w:rPr>
                <w:rFonts w:hint="eastAsia" w:ascii="宋体" w:hAnsi="宋体" w:eastAsia="宋体" w:cs="宋体"/>
                <w:b/>
                <w:bCs/>
                <w:color w:val="auto"/>
                <w:highlight w:val="none"/>
                <w:lang w:bidi="ar"/>
              </w:rPr>
              <w:t>类别</w:t>
            </w:r>
          </w:p>
        </w:tc>
        <w:tc>
          <w:tcPr>
            <w:tcW w:w="1370" w:type="dxa"/>
            <w:shd w:val="clear" w:color="auto" w:fill="FFFFFF"/>
            <w:vAlign w:val="center"/>
          </w:tcPr>
          <w:p>
            <w:pPr>
              <w:keepNext w:val="0"/>
              <w:keepLines w:val="0"/>
              <w:suppressLineNumbers w:val="0"/>
              <w:spacing w:before="0" w:beforeAutospacing="0" w:after="0" w:afterAutospacing="0"/>
              <w:ind w:left="0" w:right="0"/>
              <w:jc w:val="center"/>
              <w:textAlignment w:val="center"/>
              <w:rPr>
                <w:rFonts w:hint="default" w:ascii="宋体" w:hAnsi="宋体" w:eastAsia="宋体" w:cs="宋体"/>
                <w:b/>
                <w:bCs/>
                <w:color w:val="auto"/>
                <w:highlight w:val="none"/>
              </w:rPr>
            </w:pPr>
            <w:r>
              <w:rPr>
                <w:rFonts w:hint="eastAsia" w:ascii="宋体" w:hAnsi="宋体" w:eastAsia="宋体" w:cs="宋体"/>
                <w:b/>
                <w:bCs/>
                <w:color w:val="auto"/>
                <w:highlight w:val="none"/>
                <w:lang w:bidi="ar"/>
              </w:rPr>
              <w:t>评分内容</w:t>
            </w:r>
          </w:p>
        </w:tc>
        <w:tc>
          <w:tcPr>
            <w:tcW w:w="5671" w:type="dxa"/>
            <w:shd w:val="clear" w:color="auto" w:fill="FFFFFF"/>
            <w:vAlign w:val="center"/>
          </w:tcPr>
          <w:p>
            <w:pPr>
              <w:keepNext w:val="0"/>
              <w:keepLines w:val="0"/>
              <w:suppressLineNumbers w:val="0"/>
              <w:spacing w:before="0" w:beforeAutospacing="0" w:after="0" w:afterAutospacing="0"/>
              <w:ind w:left="0" w:right="0"/>
              <w:jc w:val="center"/>
              <w:textAlignment w:val="center"/>
              <w:rPr>
                <w:rFonts w:hint="default" w:ascii="宋体" w:hAnsi="宋体" w:eastAsia="宋体" w:cs="宋体"/>
                <w:b/>
                <w:bCs/>
                <w:color w:val="auto"/>
                <w:highlight w:val="none"/>
              </w:rPr>
            </w:pPr>
            <w:r>
              <w:rPr>
                <w:rFonts w:hint="eastAsia" w:ascii="宋体" w:hAnsi="宋体" w:eastAsia="宋体" w:cs="宋体"/>
                <w:b/>
                <w:bCs/>
                <w:color w:val="auto"/>
                <w:highlight w:val="none"/>
                <w:lang w:bidi="ar"/>
              </w:rPr>
              <w:t>评分标准</w:t>
            </w:r>
          </w:p>
        </w:tc>
        <w:tc>
          <w:tcPr>
            <w:tcW w:w="931" w:type="dxa"/>
            <w:shd w:val="clear" w:color="auto" w:fill="FFFFFF"/>
            <w:vAlign w:val="center"/>
          </w:tcPr>
          <w:p>
            <w:pPr>
              <w:keepNext w:val="0"/>
              <w:keepLines w:val="0"/>
              <w:suppressLineNumbers w:val="0"/>
              <w:spacing w:before="0" w:beforeAutospacing="0" w:after="0" w:afterAutospacing="0"/>
              <w:ind w:left="0" w:right="0"/>
              <w:jc w:val="center"/>
              <w:textAlignment w:val="center"/>
              <w:rPr>
                <w:rFonts w:hint="default" w:ascii="宋体" w:hAnsi="宋体" w:eastAsia="宋体" w:cs="宋体"/>
                <w:b/>
                <w:bCs/>
                <w:color w:val="auto"/>
                <w:highlight w:val="none"/>
              </w:rPr>
            </w:pPr>
            <w:r>
              <w:rPr>
                <w:rFonts w:hint="eastAsia" w:ascii="宋体" w:hAnsi="宋体" w:eastAsia="宋体" w:cs="宋体"/>
                <w:b/>
                <w:bCs/>
                <w:color w:val="auto"/>
                <w:highlight w:val="none"/>
                <w:lang w:bidi="ar"/>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98" w:type="dxa"/>
            <w:vMerge w:val="restart"/>
            <w:shd w:val="clear" w:color="auto" w:fill="FFFFFF"/>
            <w:vAlign w:val="center"/>
          </w:tcPr>
          <w:p>
            <w:pPr>
              <w:keepNext w:val="0"/>
              <w:keepLines w:val="0"/>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lang w:bidi="ar"/>
              </w:rPr>
              <w:t>技术资信分（</w:t>
            </w:r>
            <w:r>
              <w:rPr>
                <w:rFonts w:hint="eastAsia" w:ascii="宋体" w:hAnsi="宋体" w:eastAsia="宋体" w:cs="宋体"/>
                <w:color w:val="auto"/>
                <w:sz w:val="22"/>
                <w:szCs w:val="22"/>
                <w:highlight w:val="none"/>
                <w:lang w:val="en-US" w:eastAsia="zh-CN" w:bidi="ar"/>
              </w:rPr>
              <w:t>50</w:t>
            </w:r>
            <w:r>
              <w:rPr>
                <w:rFonts w:hint="eastAsia" w:ascii="宋体" w:hAnsi="宋体" w:eastAsia="宋体" w:cs="宋体"/>
                <w:color w:val="auto"/>
                <w:sz w:val="22"/>
                <w:szCs w:val="22"/>
                <w:highlight w:val="none"/>
                <w:lang w:bidi="ar"/>
              </w:rPr>
              <w:t>分）</w:t>
            </w:r>
          </w:p>
        </w:tc>
        <w:tc>
          <w:tcPr>
            <w:tcW w:w="1370" w:type="dxa"/>
            <w:shd w:val="clear" w:color="auto" w:fill="FFFFFF"/>
            <w:vAlign w:val="center"/>
          </w:tcPr>
          <w:p>
            <w:pPr>
              <w:keepNext w:val="0"/>
              <w:keepLines w:val="0"/>
              <w:suppressLineNumbers w:val="0"/>
              <w:spacing w:before="0" w:beforeAutospacing="0" w:after="0" w:afterAutospacing="0"/>
              <w:ind w:left="0" w:right="0"/>
              <w:textAlignment w:val="center"/>
              <w:rPr>
                <w:rFonts w:hint="default"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投标人实力</w:t>
            </w:r>
          </w:p>
        </w:tc>
        <w:tc>
          <w:tcPr>
            <w:tcW w:w="5671" w:type="dxa"/>
            <w:shd w:val="clear" w:color="auto" w:fill="FFFFFF"/>
            <w:vAlign w:val="center"/>
          </w:tcPr>
          <w:p>
            <w:pPr>
              <w:keepNext w:val="0"/>
              <w:keepLines w:val="0"/>
              <w:suppressLineNumbers w:val="0"/>
              <w:spacing w:before="0" w:beforeAutospacing="0" w:after="0" w:afterAutospacing="0"/>
              <w:ind w:left="0" w:right="0"/>
              <w:textAlignment w:val="center"/>
              <w:rPr>
                <w:rFonts w:hint="default"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bidi="ar"/>
              </w:rPr>
              <w:t>投标人近3年</w:t>
            </w:r>
            <w:r>
              <w:rPr>
                <w:rFonts w:hint="eastAsia" w:ascii="宋体" w:hAnsi="宋体" w:eastAsia="宋体" w:cs="宋体"/>
                <w:color w:val="auto"/>
                <w:sz w:val="22"/>
                <w:szCs w:val="22"/>
                <w:highlight w:val="none"/>
                <w:lang w:eastAsia="zh-CN" w:bidi="ar"/>
              </w:rPr>
              <w:t>从事数据要素或数据资产相关工作，如：</w:t>
            </w:r>
            <w:r>
              <w:rPr>
                <w:rFonts w:hint="eastAsia" w:ascii="宋体" w:hAnsi="宋体" w:eastAsia="宋体" w:cs="宋体"/>
                <w:color w:val="auto"/>
                <w:sz w:val="22"/>
                <w:szCs w:val="22"/>
                <w:highlight w:val="none"/>
                <w:lang w:bidi="ar"/>
              </w:rPr>
              <w:t>承办过市级及以上党政机关/事业单位主办的数据要素</w:t>
            </w:r>
            <w:r>
              <w:rPr>
                <w:rFonts w:hint="eastAsia" w:ascii="宋体" w:hAnsi="宋体" w:eastAsia="宋体" w:cs="宋体"/>
                <w:color w:val="auto"/>
                <w:sz w:val="22"/>
                <w:szCs w:val="22"/>
                <w:highlight w:val="none"/>
                <w:lang w:eastAsia="zh-CN" w:bidi="ar"/>
              </w:rPr>
              <w:t>、</w:t>
            </w:r>
            <w:r>
              <w:rPr>
                <w:rFonts w:hint="eastAsia" w:ascii="宋体" w:hAnsi="宋体" w:eastAsia="宋体" w:cs="宋体"/>
                <w:color w:val="auto"/>
                <w:sz w:val="22"/>
                <w:szCs w:val="22"/>
                <w:highlight w:val="none"/>
                <w:lang w:bidi="ar"/>
              </w:rPr>
              <w:t>数据资产入表</w:t>
            </w:r>
            <w:r>
              <w:rPr>
                <w:rFonts w:hint="eastAsia" w:ascii="宋体" w:hAnsi="宋体" w:eastAsia="宋体" w:cs="宋体"/>
                <w:color w:val="auto"/>
                <w:sz w:val="22"/>
                <w:szCs w:val="22"/>
                <w:highlight w:val="none"/>
                <w:lang w:eastAsia="zh-CN" w:bidi="ar"/>
              </w:rPr>
              <w:t>、</w:t>
            </w:r>
            <w:r>
              <w:rPr>
                <w:rFonts w:hint="eastAsia" w:ascii="宋体" w:hAnsi="宋体" w:eastAsia="宋体" w:cs="宋体"/>
                <w:color w:val="auto"/>
                <w:sz w:val="22"/>
                <w:szCs w:val="22"/>
                <w:highlight w:val="none"/>
                <w:lang w:bidi="ar"/>
              </w:rPr>
              <w:t>公共数据运营等</w:t>
            </w:r>
            <w:r>
              <w:rPr>
                <w:rFonts w:hint="eastAsia" w:ascii="宋体" w:hAnsi="宋体" w:eastAsia="宋体" w:cs="宋体"/>
                <w:color w:val="auto"/>
                <w:sz w:val="22"/>
                <w:szCs w:val="22"/>
                <w:highlight w:val="none"/>
                <w:lang w:eastAsia="zh-CN" w:bidi="ar"/>
              </w:rPr>
              <w:t>研讨会</w:t>
            </w:r>
            <w:r>
              <w:rPr>
                <w:rFonts w:hint="eastAsia" w:ascii="宋体" w:hAnsi="宋体" w:eastAsia="宋体" w:cs="宋体"/>
                <w:color w:val="auto"/>
                <w:sz w:val="22"/>
                <w:szCs w:val="22"/>
                <w:highlight w:val="none"/>
                <w:lang w:val="en-US" w:eastAsia="zh-CN" w:bidi="ar"/>
              </w:rPr>
              <w:t>议（论坛等相关活动均可）</w:t>
            </w:r>
            <w:r>
              <w:rPr>
                <w:rFonts w:hint="eastAsia" w:ascii="宋体" w:hAnsi="宋体" w:eastAsia="宋体" w:cs="宋体"/>
                <w:color w:val="auto"/>
                <w:sz w:val="22"/>
                <w:szCs w:val="22"/>
                <w:highlight w:val="none"/>
                <w:lang w:eastAsia="zh-CN" w:bidi="ar"/>
              </w:rPr>
              <w:t>或在省级平台挂牌过相关数据产品（不限制种类）。</w:t>
            </w:r>
            <w:r>
              <w:rPr>
                <w:rFonts w:hint="eastAsia" w:ascii="宋体" w:hAnsi="宋体" w:eastAsia="宋体" w:cs="宋体"/>
                <w:color w:val="auto"/>
                <w:sz w:val="22"/>
                <w:szCs w:val="22"/>
                <w:highlight w:val="none"/>
                <w:lang w:val="en-US" w:eastAsia="zh-CN" w:bidi="ar"/>
              </w:rPr>
              <w:t>每提供一项，</w:t>
            </w:r>
            <w:r>
              <w:rPr>
                <w:rFonts w:hint="eastAsia" w:ascii="宋体" w:hAnsi="宋体" w:eastAsia="宋体" w:cs="宋体"/>
                <w:color w:val="auto"/>
                <w:sz w:val="22"/>
                <w:szCs w:val="22"/>
                <w:highlight w:val="none"/>
                <w:lang w:bidi="ar"/>
              </w:rPr>
              <w:t>得</w:t>
            </w:r>
            <w:r>
              <w:rPr>
                <w:rFonts w:hint="eastAsia" w:ascii="宋体" w:hAnsi="宋体" w:eastAsia="宋体" w:cs="宋体"/>
                <w:color w:val="auto"/>
                <w:sz w:val="22"/>
                <w:szCs w:val="22"/>
                <w:highlight w:val="none"/>
                <w:lang w:val="en-US" w:eastAsia="zh-CN" w:bidi="ar"/>
              </w:rPr>
              <w:t>3</w:t>
            </w:r>
            <w:r>
              <w:rPr>
                <w:rFonts w:hint="eastAsia" w:ascii="宋体" w:hAnsi="宋体" w:eastAsia="宋体" w:cs="宋体"/>
                <w:color w:val="auto"/>
                <w:sz w:val="22"/>
                <w:szCs w:val="22"/>
                <w:highlight w:val="none"/>
                <w:lang w:bidi="ar"/>
              </w:rPr>
              <w:t>分</w:t>
            </w:r>
            <w:r>
              <w:rPr>
                <w:rFonts w:hint="eastAsia" w:ascii="宋体" w:hAnsi="宋体" w:eastAsia="宋体" w:cs="宋体"/>
                <w:color w:val="auto"/>
                <w:sz w:val="22"/>
                <w:szCs w:val="22"/>
                <w:highlight w:val="none"/>
                <w:lang w:eastAsia="zh-CN" w:bidi="ar"/>
              </w:rPr>
              <w:t>，</w:t>
            </w:r>
            <w:r>
              <w:rPr>
                <w:rFonts w:hint="eastAsia" w:ascii="宋体" w:hAnsi="宋体" w:eastAsia="宋体" w:cs="宋体"/>
                <w:color w:val="auto"/>
                <w:sz w:val="22"/>
                <w:szCs w:val="22"/>
                <w:highlight w:val="none"/>
                <w:lang w:val="en-US" w:eastAsia="zh-CN" w:bidi="ar"/>
              </w:rPr>
              <w:t>本项目满分6分；</w:t>
            </w:r>
          </w:p>
          <w:p>
            <w:pPr>
              <w:keepNext w:val="0"/>
              <w:keepLines w:val="0"/>
              <w:suppressLineNumbers w:val="0"/>
              <w:spacing w:before="0" w:beforeAutospacing="0" w:after="0" w:afterAutospacing="0"/>
              <w:ind w:left="0" w:right="0"/>
              <w:textAlignment w:val="center"/>
              <w:rPr>
                <w:rFonts w:hint="default"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注：提供活动照片、签到表、网页截图、证书等证明材料，以上任意一种证明材料即可。</w:t>
            </w:r>
          </w:p>
        </w:tc>
        <w:tc>
          <w:tcPr>
            <w:tcW w:w="931" w:type="dxa"/>
            <w:shd w:val="clear" w:color="auto" w:fill="FFFFFF"/>
            <w:vAlign w:val="center"/>
          </w:tcPr>
          <w:p>
            <w:pPr>
              <w:keepNext w:val="0"/>
              <w:keepLines w:val="0"/>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98" w:type="dxa"/>
            <w:vMerge w:val="continue"/>
            <w:shd w:val="clear" w:color="auto" w:fill="FFFFFF"/>
            <w:vAlign w:val="center"/>
          </w:tcPr>
          <w:p>
            <w:pPr>
              <w:keepNext w:val="0"/>
              <w:keepLines w:val="0"/>
              <w:suppressLineNumbers w:val="0"/>
              <w:spacing w:before="0" w:beforeAutospacing="0" w:after="0" w:afterAutospacing="0"/>
              <w:ind w:left="0" w:right="0"/>
              <w:jc w:val="center"/>
              <w:textAlignment w:val="center"/>
              <w:rPr>
                <w:rFonts w:hint="eastAsia" w:ascii="宋体" w:hAnsi="宋体" w:eastAsia="宋体" w:cs="宋体"/>
                <w:color w:val="auto"/>
                <w:sz w:val="22"/>
                <w:szCs w:val="22"/>
                <w:highlight w:val="none"/>
                <w:lang w:bidi="ar"/>
              </w:rPr>
            </w:pPr>
          </w:p>
        </w:tc>
        <w:tc>
          <w:tcPr>
            <w:tcW w:w="1370" w:type="dxa"/>
            <w:shd w:val="clear" w:color="auto" w:fill="FFFFFF"/>
            <w:vAlign w:val="center"/>
          </w:tcPr>
          <w:p>
            <w:pPr>
              <w:keepNext w:val="0"/>
              <w:keepLines w:val="0"/>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及时响应</w:t>
            </w:r>
          </w:p>
        </w:tc>
        <w:tc>
          <w:tcPr>
            <w:tcW w:w="5671" w:type="dxa"/>
            <w:shd w:val="clear" w:color="auto" w:fill="FFFFFF"/>
            <w:vAlign w:val="center"/>
          </w:tcPr>
          <w:p>
            <w:pPr>
              <w:keepNext w:val="0"/>
              <w:keepLines w:val="0"/>
              <w:suppressLineNumbers w:val="0"/>
              <w:spacing w:before="0" w:beforeAutospacing="0" w:after="0" w:afterAutospacing="0"/>
              <w:ind w:left="0" w:right="0"/>
              <w:textAlignment w:val="center"/>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投标人须满足在半小时内响应需求并提供专业化服务，本项目满分1分。</w:t>
            </w:r>
          </w:p>
          <w:p>
            <w:pPr>
              <w:keepNext w:val="0"/>
              <w:keepLines w:val="0"/>
              <w:suppressLineNumbers w:val="0"/>
              <w:spacing w:before="0" w:beforeAutospacing="0" w:after="0" w:afterAutospacing="0"/>
              <w:ind w:left="0" w:right="0"/>
              <w:textAlignment w:val="center"/>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注：提供承诺函并加盖公章，格式自拟</w:t>
            </w:r>
          </w:p>
        </w:tc>
        <w:tc>
          <w:tcPr>
            <w:tcW w:w="931" w:type="dxa"/>
            <w:shd w:val="clear" w:color="auto" w:fill="FFFFFF"/>
            <w:vAlign w:val="center"/>
          </w:tcPr>
          <w:p>
            <w:pPr>
              <w:keepNext w:val="0"/>
              <w:keepLines w:val="0"/>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98" w:type="dxa"/>
            <w:vMerge w:val="continue"/>
            <w:shd w:val="clear" w:color="auto" w:fill="FFFFFF"/>
            <w:vAlign w:val="center"/>
          </w:tcPr>
          <w:p>
            <w:pPr>
              <w:keepNext w:val="0"/>
              <w:keepLines w:val="0"/>
              <w:suppressLineNumbers w:val="0"/>
              <w:spacing w:before="0" w:beforeAutospacing="0" w:after="0" w:afterAutospacing="0"/>
              <w:ind w:left="0" w:right="0"/>
              <w:jc w:val="center"/>
              <w:textAlignment w:val="center"/>
              <w:rPr>
                <w:rFonts w:hint="eastAsia" w:ascii="宋体" w:hAnsi="宋体" w:eastAsia="宋体" w:cs="宋体"/>
                <w:color w:val="auto"/>
                <w:sz w:val="22"/>
                <w:szCs w:val="22"/>
                <w:highlight w:val="none"/>
                <w:lang w:bidi="ar"/>
              </w:rPr>
            </w:pPr>
          </w:p>
        </w:tc>
        <w:tc>
          <w:tcPr>
            <w:tcW w:w="1370" w:type="dxa"/>
            <w:shd w:val="clear" w:color="auto" w:fill="FFFFFF"/>
            <w:vAlign w:val="center"/>
          </w:tcPr>
          <w:p>
            <w:pPr>
              <w:keepNext w:val="0"/>
              <w:keepLines w:val="0"/>
              <w:suppressLineNumbers w:val="0"/>
              <w:spacing w:before="0" w:beforeAutospacing="0" w:after="0" w:afterAutospacing="0"/>
              <w:ind w:left="0" w:right="0"/>
              <w:jc w:val="center"/>
              <w:textAlignment w:val="center"/>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系统演示</w:t>
            </w:r>
          </w:p>
        </w:tc>
        <w:tc>
          <w:tcPr>
            <w:tcW w:w="5671" w:type="dxa"/>
            <w:shd w:val="clear" w:color="auto" w:fill="FFFFFF"/>
            <w:vAlign w:val="center"/>
          </w:tcPr>
          <w:p>
            <w:pPr>
              <w:pStyle w:val="18"/>
              <w:keepNext w:val="0"/>
              <w:keepLines w:val="0"/>
              <w:widowControl/>
              <w:suppressLineNumbers w:val="0"/>
              <w:shd w:val="clear" w:fill="FFFFFF"/>
              <w:wordWrap/>
              <w:spacing w:before="0" w:beforeAutospacing="0" w:after="0" w:afterAutospacing="0"/>
              <w:ind w:left="0" w:right="0" w:firstLine="0"/>
              <w:jc w:val="left"/>
              <w:rPr>
                <w:rFonts w:hint="default"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bidi="ar"/>
              </w:rPr>
              <w:t>投标人对开展授权运营所必须的开发技术支撑工具和运营管理工具进行系统演示，包括但不限于合伙人管理（包括</w:t>
            </w:r>
            <w:r>
              <w:rPr>
                <w:rFonts w:hint="eastAsia" w:ascii="宋体" w:hAnsi="宋体" w:eastAsia="宋体" w:cs="宋体"/>
                <w:color w:val="auto"/>
                <w:sz w:val="22"/>
                <w:szCs w:val="22"/>
                <w:highlight w:val="none"/>
                <w:lang w:val="en-US" w:eastAsia="zh-CN" w:bidi="ar"/>
              </w:rPr>
              <w:t>合伙人报名、协议备案、协议续期、协议预警等</w:t>
            </w:r>
            <w:r>
              <w:rPr>
                <w:rFonts w:hint="eastAsia" w:ascii="宋体" w:hAnsi="宋体" w:eastAsia="宋体" w:cs="宋体"/>
                <w:color w:val="auto"/>
                <w:sz w:val="22"/>
                <w:szCs w:val="22"/>
                <w:highlight w:val="none"/>
                <w:lang w:bidi="ar"/>
              </w:rPr>
              <w:t>）、数据服务（包括</w:t>
            </w:r>
            <w:r>
              <w:rPr>
                <w:rFonts w:hint="eastAsia" w:ascii="宋体" w:hAnsi="宋体" w:eastAsia="宋体" w:cs="宋体"/>
                <w:color w:val="auto"/>
                <w:sz w:val="22"/>
                <w:szCs w:val="22"/>
                <w:highlight w:val="none"/>
                <w:lang w:val="en-US" w:eastAsia="zh-CN" w:bidi="ar"/>
              </w:rPr>
              <w:t>公共数据目录、自有数据管理、公共数据管理、数据资源申请、场景创建、数据目录查看等）及场景开发管理（镜像上传、模型注册、产品发布、产品订阅、产品监控</w:t>
            </w:r>
            <w:r>
              <w:rPr>
                <w:rFonts w:hint="eastAsia" w:cs="宋体"/>
                <w:color w:val="auto"/>
                <w:sz w:val="22"/>
                <w:szCs w:val="22"/>
                <w:highlight w:val="none"/>
                <w:lang w:val="en-US" w:eastAsia="zh-CN" w:bidi="ar"/>
              </w:rPr>
              <w:t>、</w:t>
            </w:r>
            <w:r>
              <w:rPr>
                <w:rFonts w:hint="eastAsia" w:ascii="宋体" w:hAnsi="宋体" w:eastAsia="宋体" w:cs="宋体"/>
                <w:color w:val="auto"/>
                <w:sz w:val="22"/>
                <w:szCs w:val="22"/>
                <w:highlight w:val="none"/>
                <w:lang w:val="en-US" w:eastAsia="zh-CN" w:bidi="ar"/>
              </w:rPr>
              <w:t>资源监控、异常检测、开发者管理等）全流程。</w:t>
            </w:r>
          </w:p>
          <w:p>
            <w:pPr>
              <w:keepNext w:val="0"/>
              <w:keepLines w:val="0"/>
              <w:suppressLineNumbers w:val="0"/>
              <w:spacing w:before="0" w:beforeAutospacing="0" w:after="0" w:afterAutospacing="0"/>
              <w:ind w:left="0" w:right="0"/>
              <w:textAlignment w:val="center"/>
              <w:rPr>
                <w:rFonts w:hint="default"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1.现场演示，每有一项内容得1分，共18项；本项满分18分。</w:t>
            </w:r>
          </w:p>
          <w:p>
            <w:pPr>
              <w:keepNext w:val="0"/>
              <w:keepLines w:val="0"/>
              <w:suppressLineNumbers w:val="0"/>
              <w:spacing w:before="0" w:beforeAutospacing="0" w:after="0" w:afterAutospacing="0"/>
              <w:ind w:left="0" w:right="0"/>
              <w:textAlignment w:val="center"/>
              <w:rPr>
                <w:rFonts w:hint="default" w:ascii="宋体" w:hAnsi="宋体" w:eastAsia="宋体" w:cs="宋体"/>
                <w:color w:val="auto"/>
                <w:sz w:val="22"/>
                <w:szCs w:val="22"/>
                <w:highlight w:val="none"/>
                <w:lang w:val="en-US" w:eastAsia="zh-CN" w:bidi="ar"/>
              </w:rPr>
            </w:pPr>
          </w:p>
          <w:p>
            <w:pPr>
              <w:keepNext w:val="0"/>
              <w:keepLines w:val="0"/>
              <w:suppressLineNumbers w:val="0"/>
              <w:spacing w:before="0" w:beforeAutospacing="0" w:after="0" w:afterAutospacing="0"/>
              <w:ind w:left="0" w:right="0"/>
              <w:textAlignment w:val="center"/>
              <w:rPr>
                <w:rFonts w:hint="default"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注：（1）现场系统演示，演示时间不超过 15 分钟；</w:t>
            </w:r>
          </w:p>
          <w:p>
            <w:pPr>
              <w:keepNext w:val="0"/>
              <w:keepLines w:val="0"/>
              <w:suppressLineNumbers w:val="0"/>
              <w:spacing w:before="0" w:beforeAutospacing="0" w:after="0" w:afterAutospacing="0"/>
              <w:ind w:left="0" w:right="0"/>
              <w:textAlignment w:val="center"/>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（2）由投标人带电脑现场投屏演示。因投标人电脑等问题导致无法演示的，由投标人自行承担一切风险和责任。</w:t>
            </w:r>
          </w:p>
        </w:tc>
        <w:tc>
          <w:tcPr>
            <w:tcW w:w="931" w:type="dxa"/>
            <w:shd w:val="clear" w:color="auto" w:fill="FFFFFF"/>
            <w:vAlign w:val="center"/>
          </w:tcPr>
          <w:p>
            <w:pPr>
              <w:keepNext w:val="0"/>
              <w:keepLines w:val="0"/>
              <w:suppressLineNumbers w:val="0"/>
              <w:spacing w:before="0" w:beforeAutospacing="0" w:after="0" w:afterAutospacing="0"/>
              <w:ind w:left="0" w:leftChars="0" w:right="0" w:rightChars="0"/>
              <w:jc w:val="center"/>
              <w:textAlignment w:val="center"/>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18</w:t>
            </w:r>
            <w:r>
              <w:rPr>
                <w:rFonts w:hint="eastAsia" w:ascii="宋体" w:hAnsi="宋体" w:eastAsia="宋体" w:cs="宋体"/>
                <w:color w:val="auto"/>
                <w:sz w:val="22"/>
                <w:szCs w:val="22"/>
                <w:highlight w:val="none"/>
                <w:lang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98" w:type="dxa"/>
            <w:vMerge w:val="continue"/>
            <w:shd w:val="clear" w:color="auto" w:fill="FFFFFF"/>
            <w:vAlign w:val="center"/>
          </w:tcPr>
          <w:p>
            <w:pPr>
              <w:keepNext w:val="0"/>
              <w:keepLines w:val="0"/>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p>
        </w:tc>
        <w:tc>
          <w:tcPr>
            <w:tcW w:w="1370" w:type="dxa"/>
            <w:shd w:val="clear" w:color="auto" w:fill="FFFFFF"/>
            <w:vAlign w:val="center"/>
          </w:tcPr>
          <w:p>
            <w:pPr>
              <w:keepNext w:val="0"/>
              <w:keepLines w:val="0"/>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lang w:bidi="ar"/>
              </w:rPr>
              <w:t>公共数据运营方案</w:t>
            </w:r>
          </w:p>
        </w:tc>
        <w:tc>
          <w:tcPr>
            <w:tcW w:w="5671" w:type="dxa"/>
            <w:shd w:val="clear" w:color="auto" w:fill="FFFFFF"/>
            <w:vAlign w:val="center"/>
          </w:tcPr>
          <w:p>
            <w:pPr>
              <w:keepNext w:val="0"/>
              <w:keepLines w:val="0"/>
              <w:suppressLineNumbers w:val="0"/>
              <w:spacing w:before="0" w:beforeAutospacing="0" w:after="0" w:afterAutospacing="0"/>
              <w:ind w:left="0" w:right="0"/>
              <w:textAlignment w:val="center"/>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val="en-US" w:eastAsia="zh-CN" w:bidi="ar"/>
              </w:rPr>
              <w:t>根据投标人提供的</w:t>
            </w:r>
            <w:r>
              <w:rPr>
                <w:rFonts w:hint="eastAsia" w:ascii="宋体" w:hAnsi="宋体" w:eastAsia="宋体" w:cs="宋体"/>
                <w:color w:val="auto"/>
                <w:sz w:val="22"/>
                <w:szCs w:val="22"/>
                <w:highlight w:val="none"/>
                <w:lang w:bidi="ar"/>
              </w:rPr>
              <w:t>公共数据运营方案</w:t>
            </w:r>
            <w:r>
              <w:rPr>
                <w:rFonts w:hint="eastAsia" w:ascii="宋体" w:hAnsi="宋体" w:eastAsia="宋体" w:cs="宋体"/>
                <w:color w:val="auto"/>
                <w:sz w:val="22"/>
                <w:szCs w:val="22"/>
                <w:highlight w:val="none"/>
                <w:lang w:val="en-US" w:eastAsia="zh-CN" w:bidi="ar"/>
              </w:rPr>
              <w:t>进行评审：包括但不限于</w:t>
            </w:r>
            <w:r>
              <w:rPr>
                <w:rFonts w:hint="eastAsia" w:ascii="宋体" w:hAnsi="宋体" w:eastAsia="宋体" w:cs="宋体"/>
                <w:color w:val="auto"/>
                <w:sz w:val="22"/>
                <w:szCs w:val="22"/>
                <w:highlight w:val="none"/>
                <w:lang w:bidi="ar"/>
              </w:rPr>
              <w:t>围绕铜陵实际</w:t>
            </w:r>
            <w:r>
              <w:rPr>
                <w:rFonts w:hint="eastAsia" w:ascii="宋体" w:hAnsi="宋体" w:eastAsia="宋体" w:cs="宋体"/>
                <w:color w:val="auto"/>
                <w:sz w:val="22"/>
                <w:szCs w:val="22"/>
                <w:highlight w:val="none"/>
                <w:lang w:val="en-US" w:eastAsia="zh-CN" w:bidi="ar"/>
              </w:rPr>
              <w:t>情况</w:t>
            </w:r>
            <w:r>
              <w:rPr>
                <w:rFonts w:hint="eastAsia" w:ascii="宋体" w:hAnsi="宋体" w:eastAsia="宋体" w:cs="宋体"/>
                <w:color w:val="auto"/>
                <w:sz w:val="22"/>
                <w:szCs w:val="22"/>
                <w:highlight w:val="none"/>
                <w:lang w:bidi="ar"/>
              </w:rPr>
              <w:t>，完整描述数据归集、管理、加工、安全审查、产品上架、流通交易、省市平台对接全流程，贴合“整体授权+分领域协同”模式</w:t>
            </w:r>
            <w:r>
              <w:rPr>
                <w:rFonts w:hint="eastAsia" w:ascii="宋体" w:hAnsi="宋体" w:eastAsia="宋体" w:cs="宋体"/>
                <w:color w:val="auto"/>
                <w:sz w:val="22"/>
                <w:szCs w:val="22"/>
                <w:highlight w:val="none"/>
                <w:lang w:eastAsia="zh-CN" w:bidi="ar"/>
              </w:rPr>
              <w:t>。</w:t>
            </w:r>
            <w:r>
              <w:rPr>
                <w:rFonts w:hint="eastAsia" w:ascii="宋体" w:hAnsi="宋体" w:eastAsia="宋体" w:cs="宋体"/>
                <w:color w:val="auto"/>
                <w:sz w:val="22"/>
                <w:szCs w:val="22"/>
                <w:highlight w:val="none"/>
                <w:lang w:bidi="ar"/>
              </w:rPr>
              <w:br w:type="textWrapping"/>
            </w:r>
            <w:r>
              <w:rPr>
                <w:rFonts w:hint="eastAsia" w:ascii="宋体" w:hAnsi="宋体" w:eastAsia="宋体" w:cs="宋体"/>
                <w:color w:val="auto"/>
                <w:sz w:val="22"/>
                <w:szCs w:val="22"/>
                <w:highlight w:val="none"/>
                <w:lang w:bidi="ar"/>
              </w:rPr>
              <w:t>1.公共数据运营方案</w:t>
            </w:r>
            <w:r>
              <w:rPr>
                <w:rFonts w:hint="eastAsia" w:ascii="宋体" w:hAnsi="宋体" w:eastAsia="宋体" w:cs="宋体"/>
                <w:color w:val="auto"/>
                <w:sz w:val="22"/>
                <w:szCs w:val="22"/>
                <w:highlight w:val="none"/>
                <w:lang w:val="en-US" w:eastAsia="zh-CN" w:bidi="ar"/>
              </w:rPr>
              <w:t>内容</w:t>
            </w:r>
            <w:r>
              <w:rPr>
                <w:rFonts w:hint="eastAsia" w:ascii="宋体" w:hAnsi="宋体" w:eastAsia="宋体" w:cs="宋体"/>
                <w:color w:val="auto"/>
                <w:sz w:val="22"/>
                <w:szCs w:val="22"/>
                <w:highlight w:val="none"/>
                <w:lang w:bidi="ar"/>
              </w:rPr>
              <w:t>全面详实、逻辑清晰</w:t>
            </w:r>
            <w:r>
              <w:rPr>
                <w:rFonts w:hint="eastAsia" w:ascii="宋体" w:hAnsi="宋体" w:eastAsia="宋体" w:cs="宋体"/>
                <w:color w:val="auto"/>
                <w:sz w:val="22"/>
                <w:szCs w:val="22"/>
                <w:highlight w:val="none"/>
                <w:lang w:eastAsia="zh-CN" w:bidi="ar"/>
              </w:rPr>
              <w:t>，</w:t>
            </w:r>
            <w:r>
              <w:rPr>
                <w:rFonts w:hint="eastAsia" w:ascii="宋体" w:hAnsi="宋体" w:eastAsia="宋体" w:cs="宋体"/>
                <w:color w:val="auto"/>
                <w:sz w:val="22"/>
                <w:szCs w:val="22"/>
                <w:highlight w:val="none"/>
                <w:lang w:bidi="ar"/>
              </w:rPr>
              <w:t>贴合铜陵产业与治理需求，全流程设计科学</w:t>
            </w:r>
            <w:r>
              <w:rPr>
                <w:rFonts w:hint="eastAsia" w:ascii="宋体" w:hAnsi="宋体" w:eastAsia="宋体" w:cs="宋体"/>
                <w:color w:val="auto"/>
                <w:sz w:val="22"/>
                <w:szCs w:val="22"/>
                <w:highlight w:val="none"/>
                <w:lang w:eastAsia="zh-CN" w:bidi="ar"/>
              </w:rPr>
              <w:t>、</w:t>
            </w:r>
            <w:r>
              <w:rPr>
                <w:rFonts w:hint="eastAsia" w:ascii="宋体" w:hAnsi="宋体" w:eastAsia="宋体" w:cs="宋体"/>
                <w:color w:val="auto"/>
                <w:sz w:val="22"/>
                <w:szCs w:val="22"/>
                <w:highlight w:val="none"/>
                <w:lang w:val="en-US" w:eastAsia="zh-CN" w:bidi="ar"/>
              </w:rPr>
              <w:t>可行性、针对性强</w:t>
            </w:r>
            <w:r>
              <w:rPr>
                <w:rFonts w:hint="eastAsia" w:ascii="宋体" w:hAnsi="宋体" w:eastAsia="宋体" w:cs="宋体"/>
                <w:color w:val="auto"/>
                <w:sz w:val="22"/>
                <w:szCs w:val="22"/>
                <w:highlight w:val="none"/>
                <w:lang w:bidi="ar"/>
              </w:rPr>
              <w:t>，完全满足并优于采购需求</w:t>
            </w:r>
            <w:r>
              <w:rPr>
                <w:rFonts w:hint="eastAsia" w:ascii="宋体" w:hAnsi="宋体" w:eastAsia="宋体" w:cs="宋体"/>
                <w:color w:val="auto"/>
                <w:sz w:val="22"/>
                <w:szCs w:val="22"/>
                <w:highlight w:val="none"/>
                <w:lang w:eastAsia="zh-CN" w:bidi="ar"/>
              </w:rPr>
              <w:t>的</w:t>
            </w:r>
            <w:r>
              <w:rPr>
                <w:rFonts w:hint="eastAsia" w:ascii="宋体" w:hAnsi="宋体" w:eastAsia="宋体" w:cs="宋体"/>
                <w:color w:val="auto"/>
                <w:sz w:val="22"/>
                <w:szCs w:val="22"/>
                <w:highlight w:val="none"/>
                <w:lang w:bidi="ar"/>
              </w:rPr>
              <w:t>，得</w:t>
            </w:r>
            <w:r>
              <w:rPr>
                <w:rFonts w:hint="eastAsia" w:ascii="宋体" w:hAnsi="宋体" w:eastAsia="宋体" w:cs="宋体"/>
                <w:color w:val="auto"/>
                <w:sz w:val="22"/>
                <w:szCs w:val="22"/>
                <w:highlight w:val="none"/>
                <w:lang w:val="en-US" w:eastAsia="zh-CN" w:bidi="ar"/>
              </w:rPr>
              <w:t>5</w:t>
            </w:r>
            <w:r>
              <w:rPr>
                <w:rFonts w:hint="eastAsia" w:ascii="宋体" w:hAnsi="宋体" w:eastAsia="宋体" w:cs="宋体"/>
                <w:color w:val="auto"/>
                <w:sz w:val="22"/>
                <w:szCs w:val="22"/>
                <w:highlight w:val="none"/>
                <w:lang w:bidi="ar"/>
              </w:rPr>
              <w:t>分；</w:t>
            </w:r>
          </w:p>
          <w:p>
            <w:pPr>
              <w:keepNext w:val="0"/>
              <w:keepLines w:val="0"/>
              <w:suppressLineNumbers w:val="0"/>
              <w:spacing w:before="0" w:beforeAutospacing="0" w:after="0" w:afterAutospacing="0"/>
              <w:ind w:left="0" w:right="0"/>
              <w:textAlignment w:val="center"/>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bidi="ar"/>
              </w:rPr>
              <w:t>2.公共数据运营方案</w:t>
            </w:r>
            <w:r>
              <w:rPr>
                <w:rFonts w:hint="eastAsia" w:ascii="宋体" w:hAnsi="宋体" w:eastAsia="宋体" w:cs="宋体"/>
                <w:color w:val="auto"/>
                <w:sz w:val="22"/>
                <w:szCs w:val="22"/>
                <w:highlight w:val="none"/>
                <w:lang w:val="en-US" w:eastAsia="zh-CN" w:bidi="ar"/>
              </w:rPr>
              <w:t>内容基本完整</w:t>
            </w:r>
            <w:r>
              <w:rPr>
                <w:rFonts w:hint="eastAsia" w:ascii="宋体" w:hAnsi="宋体" w:eastAsia="宋体" w:cs="宋体"/>
                <w:color w:val="auto"/>
                <w:sz w:val="22"/>
                <w:szCs w:val="22"/>
                <w:highlight w:val="none"/>
                <w:lang w:eastAsia="zh-CN" w:bidi="ar"/>
              </w:rPr>
              <w:t>，</w:t>
            </w:r>
            <w:r>
              <w:rPr>
                <w:rFonts w:hint="eastAsia" w:ascii="宋体" w:hAnsi="宋体" w:eastAsia="宋体" w:cs="宋体"/>
                <w:color w:val="auto"/>
                <w:sz w:val="22"/>
                <w:szCs w:val="22"/>
                <w:highlight w:val="none"/>
                <w:lang w:val="en-US" w:eastAsia="zh-CN" w:bidi="ar"/>
              </w:rPr>
              <w:t>基本贴合</w:t>
            </w:r>
            <w:r>
              <w:rPr>
                <w:rFonts w:hint="eastAsia" w:ascii="宋体" w:hAnsi="宋体" w:eastAsia="宋体" w:cs="宋体"/>
                <w:color w:val="auto"/>
                <w:sz w:val="22"/>
                <w:szCs w:val="22"/>
                <w:highlight w:val="none"/>
                <w:lang w:bidi="ar"/>
              </w:rPr>
              <w:t>铜陵产业与治理需求，全流程设计</w:t>
            </w:r>
            <w:r>
              <w:rPr>
                <w:rFonts w:hint="eastAsia" w:ascii="宋体" w:hAnsi="宋体" w:eastAsia="宋体" w:cs="宋体"/>
                <w:color w:val="auto"/>
                <w:sz w:val="22"/>
                <w:szCs w:val="22"/>
                <w:highlight w:val="none"/>
                <w:lang w:val="en-US" w:eastAsia="zh-CN" w:bidi="ar"/>
              </w:rPr>
              <w:t>有可行性</w:t>
            </w:r>
            <w:r>
              <w:rPr>
                <w:rFonts w:hint="eastAsia" w:ascii="宋体" w:hAnsi="宋体" w:eastAsia="宋体" w:cs="宋体"/>
                <w:color w:val="auto"/>
                <w:sz w:val="22"/>
                <w:szCs w:val="22"/>
                <w:highlight w:val="none"/>
                <w:lang w:bidi="ar"/>
              </w:rPr>
              <w:t>，</w:t>
            </w:r>
            <w:r>
              <w:rPr>
                <w:rFonts w:hint="eastAsia" w:ascii="宋体" w:hAnsi="宋体" w:eastAsia="宋体" w:cs="宋体"/>
                <w:color w:val="auto"/>
                <w:sz w:val="22"/>
                <w:szCs w:val="22"/>
                <w:highlight w:val="none"/>
                <w:lang w:val="en-US" w:eastAsia="zh-CN" w:bidi="ar"/>
              </w:rPr>
              <w:t>基本</w:t>
            </w:r>
            <w:r>
              <w:rPr>
                <w:rFonts w:hint="eastAsia" w:ascii="宋体" w:hAnsi="宋体" w:eastAsia="宋体" w:cs="宋体"/>
                <w:color w:val="auto"/>
                <w:sz w:val="22"/>
                <w:szCs w:val="22"/>
                <w:highlight w:val="none"/>
                <w:lang w:bidi="ar"/>
              </w:rPr>
              <w:t>满足采购需求</w:t>
            </w:r>
            <w:r>
              <w:rPr>
                <w:rFonts w:hint="eastAsia" w:ascii="宋体" w:hAnsi="宋体" w:eastAsia="宋体" w:cs="宋体"/>
                <w:color w:val="auto"/>
                <w:sz w:val="22"/>
                <w:szCs w:val="22"/>
                <w:highlight w:val="none"/>
                <w:lang w:eastAsia="zh-CN" w:bidi="ar"/>
              </w:rPr>
              <w:t>的</w:t>
            </w:r>
            <w:r>
              <w:rPr>
                <w:rFonts w:hint="eastAsia" w:ascii="宋体" w:hAnsi="宋体" w:eastAsia="宋体" w:cs="宋体"/>
                <w:color w:val="auto"/>
                <w:sz w:val="22"/>
                <w:szCs w:val="22"/>
                <w:highlight w:val="none"/>
                <w:lang w:bidi="ar"/>
              </w:rPr>
              <w:t>，得</w:t>
            </w:r>
            <w:r>
              <w:rPr>
                <w:rFonts w:hint="eastAsia" w:ascii="宋体" w:hAnsi="宋体" w:eastAsia="宋体" w:cs="宋体"/>
                <w:color w:val="auto"/>
                <w:sz w:val="22"/>
                <w:szCs w:val="22"/>
                <w:highlight w:val="none"/>
                <w:lang w:val="en-US" w:eastAsia="zh-CN" w:bidi="ar"/>
              </w:rPr>
              <w:t>3</w:t>
            </w:r>
            <w:r>
              <w:rPr>
                <w:rFonts w:hint="eastAsia" w:ascii="宋体" w:hAnsi="宋体" w:eastAsia="宋体" w:cs="宋体"/>
                <w:color w:val="auto"/>
                <w:sz w:val="22"/>
                <w:szCs w:val="22"/>
                <w:highlight w:val="none"/>
                <w:lang w:bidi="ar"/>
              </w:rPr>
              <w:t>分；</w:t>
            </w:r>
          </w:p>
          <w:p>
            <w:pPr>
              <w:keepNext w:val="0"/>
              <w:keepLines w:val="0"/>
              <w:suppressLineNumbers w:val="0"/>
              <w:spacing w:before="0" w:beforeAutospacing="0" w:after="0" w:afterAutospacing="0"/>
              <w:ind w:left="0" w:right="0"/>
              <w:textAlignment w:val="center"/>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bidi="ar"/>
              </w:rPr>
              <w:t>3.公共数据运营方案</w:t>
            </w:r>
            <w:r>
              <w:rPr>
                <w:rFonts w:hint="eastAsia" w:ascii="宋体" w:hAnsi="宋体" w:eastAsia="宋体" w:cs="宋体"/>
                <w:color w:val="auto"/>
                <w:sz w:val="22"/>
                <w:szCs w:val="22"/>
                <w:highlight w:val="none"/>
                <w:lang w:val="en-US" w:eastAsia="zh-CN" w:bidi="ar"/>
              </w:rPr>
              <w:t>内容有待完善</w:t>
            </w:r>
            <w:r>
              <w:rPr>
                <w:rFonts w:hint="eastAsia" w:ascii="宋体" w:hAnsi="宋体" w:eastAsia="宋体" w:cs="宋体"/>
                <w:color w:val="auto"/>
                <w:sz w:val="22"/>
                <w:szCs w:val="22"/>
                <w:highlight w:val="none"/>
                <w:lang w:eastAsia="zh-CN" w:bidi="ar"/>
              </w:rPr>
              <w:t>，</w:t>
            </w:r>
            <w:r>
              <w:rPr>
                <w:rFonts w:hint="eastAsia" w:ascii="宋体" w:hAnsi="宋体" w:eastAsia="宋体" w:cs="宋体"/>
                <w:color w:val="auto"/>
                <w:sz w:val="22"/>
                <w:szCs w:val="22"/>
                <w:highlight w:val="none"/>
                <w:lang w:bidi="ar"/>
              </w:rPr>
              <w:t>铜陵产业与治理需求</w:t>
            </w:r>
            <w:r>
              <w:rPr>
                <w:rFonts w:hint="eastAsia" w:ascii="宋体" w:hAnsi="宋体" w:eastAsia="宋体" w:cs="宋体"/>
                <w:color w:val="auto"/>
                <w:sz w:val="22"/>
                <w:szCs w:val="22"/>
                <w:highlight w:val="none"/>
                <w:lang w:val="en-US" w:eastAsia="zh-CN" w:bidi="ar"/>
              </w:rPr>
              <w:t>有待完善</w:t>
            </w:r>
            <w:r>
              <w:rPr>
                <w:rFonts w:hint="eastAsia" w:ascii="宋体" w:hAnsi="宋体" w:eastAsia="宋体" w:cs="宋体"/>
                <w:color w:val="auto"/>
                <w:sz w:val="22"/>
                <w:szCs w:val="22"/>
                <w:highlight w:val="none"/>
                <w:lang w:bidi="ar"/>
              </w:rPr>
              <w:t>，全流程设计</w:t>
            </w:r>
            <w:r>
              <w:rPr>
                <w:rFonts w:hint="eastAsia" w:ascii="宋体" w:hAnsi="宋体" w:eastAsia="宋体" w:cs="宋体"/>
                <w:color w:val="auto"/>
                <w:sz w:val="22"/>
                <w:szCs w:val="22"/>
                <w:highlight w:val="none"/>
                <w:lang w:val="en-US" w:eastAsia="zh-CN" w:bidi="ar"/>
              </w:rPr>
              <w:t>有待完善</w:t>
            </w:r>
            <w:r>
              <w:rPr>
                <w:rFonts w:hint="eastAsia" w:ascii="宋体" w:hAnsi="宋体" w:eastAsia="宋体" w:cs="宋体"/>
                <w:color w:val="auto"/>
                <w:sz w:val="22"/>
                <w:szCs w:val="22"/>
                <w:highlight w:val="none"/>
                <w:lang w:eastAsia="zh-CN" w:bidi="ar"/>
              </w:rPr>
              <w:t>的</w:t>
            </w:r>
            <w:r>
              <w:rPr>
                <w:rFonts w:hint="eastAsia" w:ascii="宋体" w:hAnsi="宋体" w:eastAsia="宋体" w:cs="宋体"/>
                <w:color w:val="auto"/>
                <w:sz w:val="22"/>
                <w:szCs w:val="22"/>
                <w:highlight w:val="none"/>
                <w:lang w:bidi="ar"/>
              </w:rPr>
              <w:t>，得</w:t>
            </w:r>
            <w:r>
              <w:rPr>
                <w:rFonts w:hint="eastAsia" w:ascii="宋体" w:hAnsi="宋体" w:eastAsia="宋体" w:cs="宋体"/>
                <w:color w:val="auto"/>
                <w:sz w:val="22"/>
                <w:szCs w:val="22"/>
                <w:highlight w:val="none"/>
                <w:lang w:val="en-US" w:eastAsia="zh-CN" w:bidi="ar"/>
              </w:rPr>
              <w:t>1</w:t>
            </w:r>
            <w:r>
              <w:rPr>
                <w:rFonts w:hint="eastAsia" w:ascii="宋体" w:hAnsi="宋体" w:eastAsia="宋体" w:cs="宋体"/>
                <w:color w:val="auto"/>
                <w:sz w:val="22"/>
                <w:szCs w:val="22"/>
                <w:highlight w:val="none"/>
                <w:lang w:bidi="ar"/>
              </w:rPr>
              <w:t>分；</w:t>
            </w:r>
          </w:p>
          <w:p>
            <w:pPr>
              <w:keepNext w:val="0"/>
              <w:keepLines w:val="0"/>
              <w:suppressLineNumbers w:val="0"/>
              <w:spacing w:before="0" w:beforeAutospacing="0" w:after="0" w:afterAutospacing="0"/>
              <w:ind w:left="0" w:right="0"/>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lang w:bidi="ar"/>
              </w:rPr>
              <w:t>4.</w:t>
            </w:r>
            <w:r>
              <w:rPr>
                <w:rFonts w:hint="eastAsia" w:ascii="宋体" w:hAnsi="宋体" w:eastAsia="宋体" w:cs="宋体"/>
                <w:color w:val="auto"/>
                <w:sz w:val="22"/>
                <w:szCs w:val="22"/>
                <w:highlight w:val="none"/>
                <w:lang w:val="en-US" w:eastAsia="zh-CN" w:bidi="ar"/>
              </w:rPr>
              <w:t>未提供不得分</w:t>
            </w:r>
            <w:r>
              <w:rPr>
                <w:rFonts w:hint="eastAsia" w:ascii="宋体" w:hAnsi="宋体" w:eastAsia="宋体" w:cs="宋体"/>
                <w:color w:val="auto"/>
                <w:sz w:val="22"/>
                <w:szCs w:val="22"/>
                <w:highlight w:val="none"/>
                <w:lang w:bidi="ar"/>
              </w:rPr>
              <w:t>。</w:t>
            </w:r>
          </w:p>
        </w:tc>
        <w:tc>
          <w:tcPr>
            <w:tcW w:w="931" w:type="dxa"/>
            <w:shd w:val="clear" w:color="auto" w:fill="FFFFFF"/>
            <w:vAlign w:val="center"/>
          </w:tcPr>
          <w:p>
            <w:pPr>
              <w:keepNext w:val="0"/>
              <w:keepLines w:val="0"/>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bidi="ar"/>
              </w:rPr>
              <w:t>5</w:t>
            </w:r>
            <w:r>
              <w:rPr>
                <w:rFonts w:hint="eastAsia" w:ascii="宋体" w:hAnsi="宋体" w:eastAsia="宋体" w:cs="宋体"/>
                <w:color w:val="auto"/>
                <w:sz w:val="22"/>
                <w:szCs w:val="22"/>
                <w:highlight w:val="none"/>
                <w:lang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8" w:type="dxa"/>
            <w:vMerge w:val="continue"/>
            <w:shd w:val="clear" w:color="auto" w:fill="FFFFFF"/>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370" w:type="dxa"/>
            <w:shd w:val="clear" w:color="auto" w:fill="FFFFFF"/>
            <w:vAlign w:val="center"/>
          </w:tcPr>
          <w:p>
            <w:pPr>
              <w:keepNext w:val="0"/>
              <w:keepLines w:val="0"/>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lang w:bidi="ar"/>
              </w:rPr>
              <w:t>生态培育方案</w:t>
            </w:r>
          </w:p>
        </w:tc>
        <w:tc>
          <w:tcPr>
            <w:tcW w:w="5671" w:type="dxa"/>
            <w:shd w:val="clear" w:color="auto" w:fill="FFFFFF"/>
            <w:vAlign w:val="center"/>
          </w:tcPr>
          <w:p>
            <w:pPr>
              <w:keepNext w:val="0"/>
              <w:keepLines w:val="0"/>
              <w:numPr>
                <w:ilvl w:val="0"/>
                <w:numId w:val="0"/>
              </w:numPr>
              <w:suppressLineNumbers w:val="0"/>
              <w:spacing w:before="0" w:beforeAutospacing="0" w:after="0" w:afterAutospacing="0"/>
              <w:ind w:left="0" w:right="0"/>
              <w:textAlignment w:val="center"/>
              <w:rPr>
                <w:rFonts w:hint="eastAsia" w:ascii="宋体" w:hAnsi="宋体" w:eastAsia="宋体" w:cs="宋体"/>
                <w:color w:val="auto"/>
                <w:sz w:val="22"/>
                <w:szCs w:val="22"/>
                <w:highlight w:val="none"/>
                <w:lang w:eastAsia="zh-CN" w:bidi="ar"/>
              </w:rPr>
            </w:pPr>
            <w:r>
              <w:rPr>
                <w:rFonts w:hint="eastAsia" w:ascii="宋体" w:hAnsi="宋体" w:eastAsia="宋体" w:cs="宋体"/>
                <w:color w:val="auto"/>
                <w:sz w:val="22"/>
                <w:szCs w:val="22"/>
                <w:highlight w:val="none"/>
                <w:lang w:val="en-US" w:eastAsia="zh-CN" w:bidi="ar"/>
              </w:rPr>
              <w:t>根据投标人提供的</w:t>
            </w:r>
            <w:r>
              <w:rPr>
                <w:rFonts w:hint="eastAsia" w:ascii="宋体" w:hAnsi="宋体" w:eastAsia="宋体" w:cs="宋体"/>
                <w:color w:val="auto"/>
                <w:sz w:val="22"/>
                <w:szCs w:val="22"/>
                <w:highlight w:val="none"/>
                <w:lang w:bidi="ar"/>
              </w:rPr>
              <w:t>生态培育方案</w:t>
            </w:r>
            <w:r>
              <w:rPr>
                <w:rFonts w:hint="eastAsia" w:ascii="宋体" w:hAnsi="宋体" w:eastAsia="宋体" w:cs="宋体"/>
                <w:color w:val="auto"/>
                <w:sz w:val="22"/>
                <w:szCs w:val="22"/>
                <w:highlight w:val="none"/>
                <w:lang w:val="en-US" w:eastAsia="zh-CN" w:bidi="ar"/>
              </w:rPr>
              <w:t>进行评审：包括但不限于</w:t>
            </w:r>
            <w:r>
              <w:rPr>
                <w:rFonts w:hint="eastAsia" w:ascii="宋体" w:hAnsi="宋体" w:eastAsia="宋体" w:cs="宋体"/>
                <w:color w:val="auto"/>
                <w:sz w:val="22"/>
                <w:szCs w:val="22"/>
                <w:highlight w:val="none"/>
                <w:lang w:bidi="ar"/>
              </w:rPr>
              <w:t>围绕“运营机构+合伙人”机制，结合铜陵主导产业制定合伙人招募、培育、合作、退出、赋能、收益分配全链条</w:t>
            </w:r>
            <w:r>
              <w:rPr>
                <w:rFonts w:hint="eastAsia" w:ascii="宋体" w:hAnsi="宋体" w:eastAsia="宋体" w:cs="宋体"/>
                <w:color w:val="auto"/>
                <w:sz w:val="22"/>
                <w:szCs w:val="22"/>
                <w:highlight w:val="none"/>
                <w:lang w:val="en-US" w:eastAsia="zh-CN" w:bidi="ar"/>
              </w:rPr>
              <w:t>内容</w:t>
            </w:r>
            <w:r>
              <w:rPr>
                <w:rFonts w:hint="eastAsia" w:ascii="宋体" w:hAnsi="宋体" w:eastAsia="宋体" w:cs="宋体"/>
                <w:color w:val="auto"/>
                <w:sz w:val="22"/>
                <w:szCs w:val="22"/>
                <w:highlight w:val="none"/>
                <w:lang w:eastAsia="zh-CN" w:bidi="ar"/>
              </w:rPr>
              <w:t>。</w:t>
            </w:r>
          </w:p>
          <w:p>
            <w:pPr>
              <w:keepNext w:val="0"/>
              <w:keepLines w:val="0"/>
              <w:numPr>
                <w:ilvl w:val="0"/>
                <w:numId w:val="0"/>
              </w:numPr>
              <w:suppressLineNumbers w:val="0"/>
              <w:spacing w:before="0" w:beforeAutospacing="0" w:after="0" w:afterAutospacing="0"/>
              <w:ind w:left="0" w:right="0" w:rightChars="0"/>
              <w:textAlignment w:val="center"/>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val="en-US" w:eastAsia="zh-CN" w:bidi="ar"/>
              </w:rPr>
              <w:t>1.</w:t>
            </w:r>
            <w:r>
              <w:rPr>
                <w:rFonts w:hint="eastAsia" w:ascii="宋体" w:hAnsi="宋体" w:eastAsia="宋体" w:cs="宋体"/>
                <w:color w:val="auto"/>
                <w:sz w:val="22"/>
                <w:szCs w:val="22"/>
                <w:highlight w:val="none"/>
                <w:lang w:bidi="ar"/>
              </w:rPr>
              <w:t>生态培育方案</w:t>
            </w:r>
            <w:r>
              <w:rPr>
                <w:rFonts w:hint="eastAsia" w:ascii="宋体" w:hAnsi="宋体" w:eastAsia="宋体" w:cs="宋体"/>
                <w:color w:val="auto"/>
                <w:sz w:val="22"/>
                <w:szCs w:val="22"/>
                <w:highlight w:val="none"/>
                <w:lang w:val="en-US" w:eastAsia="zh-CN" w:bidi="ar"/>
              </w:rPr>
              <w:t>内容</w:t>
            </w:r>
            <w:r>
              <w:rPr>
                <w:rFonts w:hint="eastAsia" w:ascii="宋体" w:hAnsi="宋体" w:eastAsia="宋体" w:cs="宋体"/>
                <w:color w:val="auto"/>
                <w:sz w:val="22"/>
                <w:szCs w:val="22"/>
                <w:highlight w:val="none"/>
                <w:lang w:bidi="ar"/>
              </w:rPr>
              <w:t>全面详实、逻辑清晰</w:t>
            </w:r>
            <w:r>
              <w:rPr>
                <w:rFonts w:hint="eastAsia" w:ascii="宋体" w:hAnsi="宋体" w:eastAsia="宋体" w:cs="宋体"/>
                <w:color w:val="auto"/>
                <w:sz w:val="22"/>
                <w:szCs w:val="22"/>
                <w:highlight w:val="none"/>
                <w:lang w:eastAsia="zh-CN" w:bidi="ar"/>
              </w:rPr>
              <w:t>，</w:t>
            </w:r>
            <w:r>
              <w:rPr>
                <w:rFonts w:hint="eastAsia" w:ascii="宋体" w:hAnsi="宋体" w:eastAsia="宋体" w:cs="宋体"/>
                <w:color w:val="auto"/>
                <w:sz w:val="22"/>
                <w:szCs w:val="22"/>
                <w:highlight w:val="none"/>
                <w:lang w:bidi="ar"/>
              </w:rPr>
              <w:t>合伙人赛道覆盖铜陵重点领域</w:t>
            </w:r>
            <w:r>
              <w:rPr>
                <w:rFonts w:hint="eastAsia" w:ascii="宋体" w:hAnsi="宋体" w:eastAsia="宋体" w:cs="宋体"/>
                <w:color w:val="auto"/>
                <w:sz w:val="22"/>
                <w:szCs w:val="22"/>
                <w:highlight w:val="none"/>
                <w:lang w:eastAsia="zh-CN" w:bidi="ar"/>
              </w:rPr>
              <w:t>，</w:t>
            </w:r>
            <w:r>
              <w:rPr>
                <w:rFonts w:hint="eastAsia" w:ascii="宋体" w:hAnsi="宋体" w:eastAsia="宋体" w:cs="宋体"/>
                <w:color w:val="auto"/>
                <w:sz w:val="22"/>
                <w:szCs w:val="22"/>
                <w:highlight w:val="none"/>
                <w:lang w:val="en-US" w:eastAsia="zh-CN" w:bidi="ar"/>
              </w:rPr>
              <w:t>可行性、针对性强的</w:t>
            </w:r>
            <w:r>
              <w:rPr>
                <w:rFonts w:hint="eastAsia" w:ascii="宋体" w:hAnsi="宋体" w:eastAsia="宋体" w:cs="宋体"/>
                <w:color w:val="auto"/>
                <w:sz w:val="22"/>
                <w:szCs w:val="22"/>
                <w:highlight w:val="none"/>
                <w:lang w:bidi="ar"/>
              </w:rPr>
              <w:t>，得</w:t>
            </w:r>
            <w:r>
              <w:rPr>
                <w:rFonts w:hint="eastAsia" w:ascii="宋体" w:hAnsi="宋体" w:eastAsia="宋体" w:cs="宋体"/>
                <w:color w:val="auto"/>
                <w:sz w:val="22"/>
                <w:szCs w:val="22"/>
                <w:highlight w:val="none"/>
                <w:lang w:val="en-US" w:eastAsia="zh-CN" w:bidi="ar"/>
              </w:rPr>
              <w:t>5</w:t>
            </w:r>
            <w:r>
              <w:rPr>
                <w:rFonts w:hint="eastAsia" w:ascii="宋体" w:hAnsi="宋体" w:eastAsia="宋体" w:cs="宋体"/>
                <w:color w:val="auto"/>
                <w:sz w:val="22"/>
                <w:szCs w:val="22"/>
                <w:highlight w:val="none"/>
                <w:lang w:bidi="ar"/>
              </w:rPr>
              <w:t>分；</w:t>
            </w:r>
          </w:p>
          <w:p>
            <w:pPr>
              <w:keepNext w:val="0"/>
              <w:keepLines w:val="0"/>
              <w:numPr>
                <w:ilvl w:val="0"/>
                <w:numId w:val="0"/>
              </w:numPr>
              <w:suppressLineNumbers w:val="0"/>
              <w:spacing w:before="0" w:beforeAutospacing="0" w:after="0" w:afterAutospacing="0"/>
              <w:ind w:left="0" w:right="0" w:rightChars="0"/>
              <w:textAlignment w:val="center"/>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val="en-US" w:eastAsia="zh-CN" w:bidi="ar"/>
              </w:rPr>
              <w:t>2.</w:t>
            </w:r>
            <w:r>
              <w:rPr>
                <w:rFonts w:hint="eastAsia" w:ascii="宋体" w:hAnsi="宋体" w:eastAsia="宋体" w:cs="宋体"/>
                <w:color w:val="auto"/>
                <w:sz w:val="22"/>
                <w:szCs w:val="22"/>
                <w:highlight w:val="none"/>
                <w:lang w:bidi="ar"/>
              </w:rPr>
              <w:t>生态培育方案</w:t>
            </w:r>
            <w:r>
              <w:rPr>
                <w:rFonts w:hint="eastAsia" w:ascii="宋体" w:hAnsi="宋体" w:eastAsia="宋体" w:cs="宋体"/>
                <w:color w:val="auto"/>
                <w:sz w:val="22"/>
                <w:szCs w:val="22"/>
                <w:highlight w:val="none"/>
                <w:lang w:val="en-US" w:eastAsia="zh-CN" w:bidi="ar"/>
              </w:rPr>
              <w:t>内容基本完整</w:t>
            </w:r>
            <w:r>
              <w:rPr>
                <w:rFonts w:hint="eastAsia" w:ascii="宋体" w:hAnsi="宋体" w:eastAsia="宋体" w:cs="宋体"/>
                <w:color w:val="auto"/>
                <w:sz w:val="22"/>
                <w:szCs w:val="22"/>
                <w:highlight w:val="none"/>
                <w:lang w:eastAsia="zh-CN" w:bidi="ar"/>
              </w:rPr>
              <w:t>，</w:t>
            </w:r>
            <w:r>
              <w:rPr>
                <w:rFonts w:hint="eastAsia" w:ascii="宋体" w:hAnsi="宋体" w:eastAsia="宋体" w:cs="宋体"/>
                <w:color w:val="auto"/>
                <w:sz w:val="22"/>
                <w:szCs w:val="22"/>
                <w:highlight w:val="none"/>
                <w:lang w:bidi="ar"/>
              </w:rPr>
              <w:t>合伙人赛道覆盖铜陵</w:t>
            </w:r>
            <w:r>
              <w:rPr>
                <w:rFonts w:hint="eastAsia" w:ascii="宋体" w:hAnsi="宋体" w:eastAsia="宋体" w:cs="宋体"/>
                <w:color w:val="auto"/>
                <w:sz w:val="22"/>
                <w:szCs w:val="22"/>
                <w:highlight w:val="none"/>
                <w:lang w:val="en-US" w:eastAsia="zh-CN" w:bidi="ar"/>
              </w:rPr>
              <w:t>部分</w:t>
            </w:r>
            <w:r>
              <w:rPr>
                <w:rFonts w:hint="eastAsia" w:ascii="宋体" w:hAnsi="宋体" w:eastAsia="宋体" w:cs="宋体"/>
                <w:color w:val="auto"/>
                <w:sz w:val="22"/>
                <w:szCs w:val="22"/>
                <w:highlight w:val="none"/>
                <w:lang w:bidi="ar"/>
              </w:rPr>
              <w:t>重点领域</w:t>
            </w:r>
            <w:r>
              <w:rPr>
                <w:rFonts w:hint="eastAsia" w:ascii="宋体" w:hAnsi="宋体" w:eastAsia="宋体" w:cs="宋体"/>
                <w:color w:val="auto"/>
                <w:sz w:val="22"/>
                <w:szCs w:val="22"/>
                <w:highlight w:val="none"/>
                <w:lang w:eastAsia="zh-CN" w:bidi="ar"/>
              </w:rPr>
              <w:t>，</w:t>
            </w:r>
            <w:r>
              <w:rPr>
                <w:rFonts w:hint="eastAsia" w:ascii="宋体" w:hAnsi="宋体" w:eastAsia="宋体" w:cs="宋体"/>
                <w:color w:val="auto"/>
                <w:sz w:val="22"/>
                <w:szCs w:val="22"/>
                <w:highlight w:val="none"/>
                <w:lang w:val="en-US" w:eastAsia="zh-CN" w:bidi="ar"/>
              </w:rPr>
              <w:t>有可行性的</w:t>
            </w:r>
            <w:r>
              <w:rPr>
                <w:rFonts w:hint="eastAsia" w:ascii="宋体" w:hAnsi="宋体" w:eastAsia="宋体" w:cs="宋体"/>
                <w:color w:val="auto"/>
                <w:sz w:val="22"/>
                <w:szCs w:val="22"/>
                <w:highlight w:val="none"/>
                <w:lang w:bidi="ar"/>
              </w:rPr>
              <w:t>，得</w:t>
            </w:r>
            <w:r>
              <w:rPr>
                <w:rFonts w:hint="eastAsia" w:ascii="宋体" w:hAnsi="宋体" w:eastAsia="宋体" w:cs="宋体"/>
                <w:color w:val="auto"/>
                <w:sz w:val="22"/>
                <w:szCs w:val="22"/>
                <w:highlight w:val="none"/>
                <w:lang w:val="en-US" w:eastAsia="zh-CN" w:bidi="ar"/>
              </w:rPr>
              <w:t>3</w:t>
            </w:r>
            <w:r>
              <w:rPr>
                <w:rFonts w:hint="eastAsia" w:ascii="宋体" w:hAnsi="宋体" w:eastAsia="宋体" w:cs="宋体"/>
                <w:color w:val="auto"/>
                <w:sz w:val="22"/>
                <w:szCs w:val="22"/>
                <w:highlight w:val="none"/>
                <w:lang w:bidi="ar"/>
              </w:rPr>
              <w:t>分；</w:t>
            </w:r>
          </w:p>
          <w:p>
            <w:pPr>
              <w:keepNext w:val="0"/>
              <w:keepLines w:val="0"/>
              <w:numPr>
                <w:ilvl w:val="0"/>
                <w:numId w:val="0"/>
              </w:numPr>
              <w:suppressLineNumbers w:val="0"/>
              <w:spacing w:before="0" w:beforeAutospacing="0" w:after="0" w:afterAutospacing="0"/>
              <w:ind w:left="0" w:right="0" w:rightChars="0"/>
              <w:textAlignment w:val="center"/>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val="en-US" w:eastAsia="zh-CN" w:bidi="ar"/>
              </w:rPr>
              <w:t>3.</w:t>
            </w:r>
            <w:r>
              <w:rPr>
                <w:rFonts w:hint="eastAsia" w:ascii="宋体" w:hAnsi="宋体" w:eastAsia="宋体" w:cs="宋体"/>
                <w:color w:val="auto"/>
                <w:sz w:val="22"/>
                <w:szCs w:val="22"/>
                <w:highlight w:val="none"/>
                <w:lang w:bidi="ar"/>
              </w:rPr>
              <w:t>生态培育方案</w:t>
            </w:r>
            <w:r>
              <w:rPr>
                <w:rFonts w:hint="eastAsia" w:ascii="宋体" w:hAnsi="宋体" w:eastAsia="宋体" w:cs="宋体"/>
                <w:color w:val="auto"/>
                <w:sz w:val="22"/>
                <w:szCs w:val="22"/>
                <w:highlight w:val="none"/>
                <w:lang w:val="en-US" w:eastAsia="zh-CN" w:bidi="ar"/>
              </w:rPr>
              <w:t>有待完善</w:t>
            </w:r>
            <w:r>
              <w:rPr>
                <w:rFonts w:hint="eastAsia" w:ascii="宋体" w:hAnsi="宋体" w:eastAsia="宋体" w:cs="宋体"/>
                <w:color w:val="auto"/>
                <w:sz w:val="22"/>
                <w:szCs w:val="22"/>
                <w:highlight w:val="none"/>
                <w:lang w:eastAsia="zh-CN" w:bidi="ar"/>
              </w:rPr>
              <w:t>，</w:t>
            </w:r>
            <w:r>
              <w:rPr>
                <w:rFonts w:hint="eastAsia" w:ascii="宋体" w:hAnsi="宋体" w:eastAsia="宋体" w:cs="宋体"/>
                <w:color w:val="auto"/>
                <w:sz w:val="22"/>
                <w:szCs w:val="22"/>
                <w:highlight w:val="none"/>
                <w:lang w:bidi="ar"/>
              </w:rPr>
              <w:t>合伙人赛道覆盖</w:t>
            </w:r>
            <w:r>
              <w:rPr>
                <w:rFonts w:hint="eastAsia" w:ascii="宋体" w:hAnsi="宋体" w:eastAsia="宋体" w:cs="宋体"/>
                <w:color w:val="auto"/>
                <w:sz w:val="22"/>
                <w:szCs w:val="22"/>
                <w:highlight w:val="none"/>
                <w:lang w:val="en-US" w:eastAsia="zh-CN" w:bidi="ar"/>
              </w:rPr>
              <w:t>铜陵</w:t>
            </w:r>
            <w:r>
              <w:rPr>
                <w:rFonts w:hint="eastAsia" w:ascii="宋体" w:hAnsi="宋体" w:eastAsia="宋体" w:cs="宋体"/>
                <w:color w:val="auto"/>
                <w:sz w:val="22"/>
                <w:szCs w:val="22"/>
                <w:highlight w:val="none"/>
                <w:lang w:bidi="ar"/>
              </w:rPr>
              <w:t>领域</w:t>
            </w:r>
            <w:r>
              <w:rPr>
                <w:rFonts w:hint="eastAsia" w:ascii="宋体" w:hAnsi="宋体" w:eastAsia="宋体" w:cs="宋体"/>
                <w:color w:val="auto"/>
                <w:sz w:val="22"/>
                <w:szCs w:val="22"/>
                <w:highlight w:val="none"/>
                <w:lang w:val="en-US" w:eastAsia="zh-CN" w:bidi="ar"/>
              </w:rPr>
              <w:t>有待提升的</w:t>
            </w:r>
            <w:r>
              <w:rPr>
                <w:rFonts w:hint="eastAsia" w:ascii="宋体" w:hAnsi="宋体" w:eastAsia="宋体" w:cs="宋体"/>
                <w:color w:val="auto"/>
                <w:sz w:val="22"/>
                <w:szCs w:val="22"/>
                <w:highlight w:val="none"/>
                <w:lang w:bidi="ar"/>
              </w:rPr>
              <w:t>，得</w:t>
            </w:r>
            <w:r>
              <w:rPr>
                <w:rFonts w:hint="eastAsia" w:ascii="宋体" w:hAnsi="宋体" w:eastAsia="宋体" w:cs="宋体"/>
                <w:color w:val="auto"/>
                <w:sz w:val="22"/>
                <w:szCs w:val="22"/>
                <w:highlight w:val="none"/>
                <w:lang w:val="en-US" w:eastAsia="zh-CN" w:bidi="ar"/>
              </w:rPr>
              <w:t>1</w:t>
            </w:r>
            <w:r>
              <w:rPr>
                <w:rFonts w:hint="eastAsia" w:ascii="宋体" w:hAnsi="宋体" w:eastAsia="宋体" w:cs="宋体"/>
                <w:color w:val="auto"/>
                <w:sz w:val="22"/>
                <w:szCs w:val="22"/>
                <w:highlight w:val="none"/>
                <w:lang w:bidi="ar"/>
              </w:rPr>
              <w:t>分；</w:t>
            </w:r>
          </w:p>
          <w:p>
            <w:pPr>
              <w:keepNext w:val="0"/>
              <w:keepLines w:val="0"/>
              <w:numPr>
                <w:ilvl w:val="0"/>
                <w:numId w:val="0"/>
              </w:numPr>
              <w:suppressLineNumbers w:val="0"/>
              <w:spacing w:before="0" w:beforeAutospacing="0" w:after="0" w:afterAutospacing="0"/>
              <w:ind w:left="0" w:right="0" w:rightChars="0"/>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bidi="ar"/>
              </w:rPr>
              <w:t>4.未提供不得分</w:t>
            </w:r>
            <w:r>
              <w:rPr>
                <w:rFonts w:hint="eastAsia" w:ascii="宋体" w:hAnsi="宋体" w:eastAsia="宋体" w:cs="宋体"/>
                <w:color w:val="auto"/>
                <w:sz w:val="22"/>
                <w:szCs w:val="22"/>
                <w:highlight w:val="none"/>
                <w:lang w:bidi="ar"/>
              </w:rPr>
              <w:t>。</w:t>
            </w:r>
          </w:p>
        </w:tc>
        <w:tc>
          <w:tcPr>
            <w:tcW w:w="931" w:type="dxa"/>
            <w:shd w:val="clear" w:color="auto" w:fill="FFFFFF"/>
            <w:vAlign w:val="center"/>
          </w:tcPr>
          <w:p>
            <w:pPr>
              <w:keepNext w:val="0"/>
              <w:keepLines w:val="0"/>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lang w:bidi="ar"/>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8" w:type="dxa"/>
            <w:vMerge w:val="continue"/>
            <w:shd w:val="clear" w:color="auto" w:fill="FFFFFF"/>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370" w:type="dxa"/>
            <w:shd w:val="clear" w:color="auto" w:fill="FFFFFF"/>
            <w:vAlign w:val="center"/>
          </w:tcPr>
          <w:p>
            <w:pPr>
              <w:keepNext w:val="0"/>
              <w:keepLines w:val="0"/>
              <w:suppressLineNumbers w:val="0"/>
              <w:spacing w:before="0" w:beforeAutospacing="0" w:after="0" w:afterAutospacing="0"/>
              <w:ind w:left="0" w:right="0"/>
              <w:jc w:val="center"/>
              <w:textAlignment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bidi="ar"/>
              </w:rPr>
              <w:t>安全管理</w:t>
            </w:r>
            <w:r>
              <w:rPr>
                <w:rFonts w:hint="eastAsia" w:ascii="宋体" w:hAnsi="宋体" w:eastAsia="宋体" w:cs="宋体"/>
                <w:color w:val="auto"/>
                <w:sz w:val="22"/>
                <w:szCs w:val="22"/>
                <w:highlight w:val="none"/>
                <w:lang w:val="en-US" w:eastAsia="zh-CN" w:bidi="ar"/>
              </w:rPr>
              <w:t>方案</w:t>
            </w:r>
          </w:p>
        </w:tc>
        <w:tc>
          <w:tcPr>
            <w:tcW w:w="5671" w:type="dxa"/>
            <w:shd w:val="clear" w:color="auto" w:fill="FFFFFF"/>
            <w:vAlign w:val="center"/>
          </w:tcPr>
          <w:p>
            <w:pPr>
              <w:keepNext w:val="0"/>
              <w:keepLines w:val="0"/>
              <w:suppressLineNumbers w:val="0"/>
              <w:spacing w:before="0" w:beforeAutospacing="0" w:after="0" w:afterAutospacing="0"/>
              <w:ind w:left="0" w:right="0"/>
              <w:textAlignment w:val="center"/>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val="en-US" w:eastAsia="zh-CN" w:bidi="ar"/>
              </w:rPr>
              <w:t>根据投标人提供的</w:t>
            </w:r>
            <w:r>
              <w:rPr>
                <w:rFonts w:hint="eastAsia" w:ascii="宋体" w:hAnsi="宋体" w:eastAsia="宋体" w:cs="宋体"/>
                <w:color w:val="auto"/>
                <w:sz w:val="22"/>
                <w:szCs w:val="22"/>
                <w:highlight w:val="none"/>
                <w:lang w:bidi="ar"/>
              </w:rPr>
              <w:t>安全管理</w:t>
            </w:r>
            <w:r>
              <w:rPr>
                <w:rFonts w:hint="eastAsia" w:ascii="宋体" w:hAnsi="宋体" w:eastAsia="宋体" w:cs="宋体"/>
                <w:color w:val="auto"/>
                <w:sz w:val="22"/>
                <w:szCs w:val="22"/>
                <w:highlight w:val="none"/>
                <w:lang w:val="en-US" w:eastAsia="zh-CN" w:bidi="ar"/>
              </w:rPr>
              <w:t>方案进行评审：包括但不限于</w:t>
            </w:r>
            <w:r>
              <w:rPr>
                <w:rFonts w:hint="eastAsia" w:ascii="宋体" w:hAnsi="宋体" w:eastAsia="宋体" w:cs="宋体"/>
                <w:color w:val="auto"/>
                <w:sz w:val="22"/>
                <w:szCs w:val="22"/>
                <w:highlight w:val="none"/>
                <w:lang w:bidi="ar"/>
              </w:rPr>
              <w:t>设立安全管理部门，建立覆盖网络安全、数据安全、应用安全、人员安全、物理安全、个人信息保护的全流程安全体系</w:t>
            </w:r>
            <w:r>
              <w:rPr>
                <w:rFonts w:hint="eastAsia" w:ascii="宋体" w:hAnsi="宋体" w:eastAsia="宋体" w:cs="宋体"/>
                <w:color w:val="auto"/>
                <w:sz w:val="22"/>
                <w:szCs w:val="22"/>
                <w:highlight w:val="none"/>
                <w:lang w:eastAsia="zh-CN" w:bidi="ar"/>
              </w:rPr>
              <w:t>。</w:t>
            </w:r>
            <w:r>
              <w:rPr>
                <w:rFonts w:hint="eastAsia" w:ascii="宋体" w:hAnsi="宋体" w:eastAsia="宋体" w:cs="宋体"/>
                <w:color w:val="auto"/>
                <w:sz w:val="22"/>
                <w:szCs w:val="22"/>
                <w:highlight w:val="none"/>
                <w:lang w:bidi="ar"/>
              </w:rPr>
              <w:br w:type="textWrapping"/>
            </w:r>
            <w:r>
              <w:rPr>
                <w:rFonts w:hint="eastAsia" w:ascii="宋体" w:hAnsi="宋体" w:eastAsia="宋体" w:cs="宋体"/>
                <w:color w:val="auto"/>
                <w:sz w:val="22"/>
                <w:szCs w:val="22"/>
                <w:highlight w:val="none"/>
                <w:lang w:bidi="ar"/>
              </w:rPr>
              <w:t>1.安全管理</w:t>
            </w:r>
            <w:r>
              <w:rPr>
                <w:rFonts w:hint="eastAsia" w:ascii="宋体" w:hAnsi="宋体" w:eastAsia="宋体" w:cs="宋体"/>
                <w:color w:val="auto"/>
                <w:sz w:val="22"/>
                <w:szCs w:val="22"/>
                <w:highlight w:val="none"/>
                <w:lang w:val="en-US" w:eastAsia="zh-CN" w:bidi="ar"/>
              </w:rPr>
              <w:t>方案内容完善详细，</w:t>
            </w:r>
            <w:r>
              <w:rPr>
                <w:rFonts w:hint="eastAsia" w:ascii="宋体" w:hAnsi="宋体" w:eastAsia="宋体" w:cs="宋体"/>
                <w:color w:val="auto"/>
                <w:sz w:val="22"/>
                <w:szCs w:val="22"/>
                <w:highlight w:val="none"/>
                <w:lang w:bidi="ar"/>
              </w:rPr>
              <w:t>安全部门</w:t>
            </w:r>
            <w:r>
              <w:rPr>
                <w:rFonts w:hint="eastAsia" w:ascii="宋体" w:hAnsi="宋体" w:eastAsia="宋体" w:cs="宋体"/>
                <w:color w:val="auto"/>
                <w:sz w:val="22"/>
                <w:szCs w:val="22"/>
                <w:highlight w:val="none"/>
                <w:lang w:val="en-US" w:eastAsia="zh-CN" w:bidi="ar"/>
              </w:rPr>
              <w:t>制度职责完善</w:t>
            </w:r>
            <w:r>
              <w:rPr>
                <w:rFonts w:hint="eastAsia" w:ascii="宋体" w:hAnsi="宋体" w:eastAsia="宋体" w:cs="宋体"/>
                <w:color w:val="auto"/>
                <w:sz w:val="22"/>
                <w:szCs w:val="22"/>
                <w:highlight w:val="none"/>
                <w:lang w:bidi="ar"/>
              </w:rPr>
              <w:t>明确</w:t>
            </w:r>
            <w:r>
              <w:rPr>
                <w:rFonts w:hint="eastAsia" w:ascii="宋体" w:hAnsi="宋体" w:eastAsia="宋体" w:cs="宋体"/>
                <w:color w:val="auto"/>
                <w:sz w:val="22"/>
                <w:szCs w:val="22"/>
                <w:highlight w:val="none"/>
                <w:lang w:val="en-US" w:eastAsia="zh-CN" w:bidi="ar"/>
              </w:rPr>
              <w:t>，全流程安全体系内容全面详实</w:t>
            </w:r>
            <w:r>
              <w:rPr>
                <w:rFonts w:hint="eastAsia" w:ascii="宋体" w:hAnsi="宋体" w:eastAsia="宋体" w:cs="宋体"/>
                <w:color w:val="auto"/>
                <w:sz w:val="22"/>
                <w:szCs w:val="22"/>
                <w:highlight w:val="none"/>
                <w:lang w:bidi="ar"/>
              </w:rPr>
              <w:t>，</w:t>
            </w:r>
            <w:r>
              <w:rPr>
                <w:rFonts w:hint="eastAsia" w:ascii="宋体" w:hAnsi="宋体" w:eastAsia="宋体" w:cs="宋体"/>
                <w:color w:val="auto"/>
                <w:sz w:val="22"/>
                <w:szCs w:val="22"/>
                <w:highlight w:val="none"/>
                <w:lang w:val="en-US" w:eastAsia="zh-CN" w:bidi="ar"/>
              </w:rPr>
              <w:t>可行性、针对性强的</w:t>
            </w:r>
            <w:r>
              <w:rPr>
                <w:rFonts w:hint="eastAsia" w:ascii="宋体" w:hAnsi="宋体" w:eastAsia="宋体" w:cs="宋体"/>
                <w:color w:val="auto"/>
                <w:sz w:val="22"/>
                <w:szCs w:val="22"/>
                <w:highlight w:val="none"/>
                <w:lang w:bidi="ar"/>
              </w:rPr>
              <w:t>，得</w:t>
            </w:r>
            <w:r>
              <w:rPr>
                <w:rFonts w:hint="eastAsia" w:ascii="宋体" w:hAnsi="宋体" w:eastAsia="宋体" w:cs="宋体"/>
                <w:color w:val="auto"/>
                <w:sz w:val="22"/>
                <w:szCs w:val="22"/>
                <w:highlight w:val="none"/>
                <w:lang w:val="en-US" w:eastAsia="zh-CN" w:bidi="ar"/>
              </w:rPr>
              <w:t>5</w:t>
            </w:r>
            <w:r>
              <w:rPr>
                <w:rFonts w:hint="eastAsia" w:ascii="宋体" w:hAnsi="宋体" w:eastAsia="宋体" w:cs="宋体"/>
                <w:color w:val="auto"/>
                <w:sz w:val="22"/>
                <w:szCs w:val="22"/>
                <w:highlight w:val="none"/>
                <w:lang w:bidi="ar"/>
              </w:rPr>
              <w:t>分；</w:t>
            </w:r>
          </w:p>
          <w:p>
            <w:pPr>
              <w:keepNext w:val="0"/>
              <w:keepLines w:val="0"/>
              <w:suppressLineNumbers w:val="0"/>
              <w:spacing w:before="0" w:beforeAutospacing="0" w:after="0" w:afterAutospacing="0"/>
              <w:ind w:left="0" w:right="0"/>
              <w:textAlignment w:val="center"/>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bidi="ar"/>
              </w:rPr>
              <w:t>2.安全管理</w:t>
            </w:r>
            <w:r>
              <w:rPr>
                <w:rFonts w:hint="eastAsia" w:ascii="宋体" w:hAnsi="宋体" w:eastAsia="宋体" w:cs="宋体"/>
                <w:color w:val="auto"/>
                <w:sz w:val="22"/>
                <w:szCs w:val="22"/>
                <w:highlight w:val="none"/>
                <w:lang w:val="en-US" w:eastAsia="zh-CN" w:bidi="ar"/>
              </w:rPr>
              <w:t>方案内容基本完整，</w:t>
            </w:r>
            <w:r>
              <w:rPr>
                <w:rFonts w:hint="eastAsia" w:ascii="宋体" w:hAnsi="宋体" w:eastAsia="宋体" w:cs="宋体"/>
                <w:color w:val="auto"/>
                <w:sz w:val="22"/>
                <w:szCs w:val="22"/>
                <w:highlight w:val="none"/>
                <w:lang w:bidi="ar"/>
              </w:rPr>
              <w:t>安全部门</w:t>
            </w:r>
            <w:r>
              <w:rPr>
                <w:rFonts w:hint="eastAsia" w:ascii="宋体" w:hAnsi="宋体" w:eastAsia="宋体" w:cs="宋体"/>
                <w:color w:val="auto"/>
                <w:sz w:val="22"/>
                <w:szCs w:val="22"/>
                <w:highlight w:val="none"/>
                <w:lang w:val="en-US" w:eastAsia="zh-CN" w:bidi="ar"/>
              </w:rPr>
              <w:t>制度职责基本明确</w:t>
            </w:r>
            <w:r>
              <w:rPr>
                <w:rFonts w:hint="eastAsia" w:ascii="宋体" w:hAnsi="宋体" w:eastAsia="宋体" w:cs="宋体"/>
                <w:color w:val="auto"/>
                <w:sz w:val="22"/>
                <w:szCs w:val="22"/>
                <w:highlight w:val="none"/>
                <w:lang w:eastAsia="zh-CN" w:bidi="ar"/>
              </w:rPr>
              <w:t>，</w:t>
            </w:r>
            <w:r>
              <w:rPr>
                <w:rFonts w:hint="eastAsia" w:ascii="宋体" w:hAnsi="宋体" w:eastAsia="宋体" w:cs="宋体"/>
                <w:color w:val="auto"/>
                <w:sz w:val="22"/>
                <w:szCs w:val="22"/>
                <w:highlight w:val="none"/>
                <w:lang w:val="en-US" w:eastAsia="zh-CN" w:bidi="ar"/>
              </w:rPr>
              <w:t>有专职负责人工作内容，全流程安全体系内容基本完整</w:t>
            </w:r>
            <w:r>
              <w:rPr>
                <w:rFonts w:hint="eastAsia" w:ascii="宋体" w:hAnsi="宋体" w:eastAsia="宋体" w:cs="宋体"/>
                <w:color w:val="auto"/>
                <w:sz w:val="22"/>
                <w:szCs w:val="22"/>
                <w:highlight w:val="none"/>
                <w:lang w:bidi="ar"/>
              </w:rPr>
              <w:t>，</w:t>
            </w:r>
            <w:r>
              <w:rPr>
                <w:rFonts w:hint="eastAsia" w:ascii="宋体" w:hAnsi="宋体" w:eastAsia="宋体" w:cs="宋体"/>
                <w:color w:val="auto"/>
                <w:sz w:val="22"/>
                <w:szCs w:val="22"/>
                <w:highlight w:val="none"/>
                <w:lang w:val="en-US" w:eastAsia="zh-CN" w:bidi="ar"/>
              </w:rPr>
              <w:t>有可行性的</w:t>
            </w:r>
            <w:r>
              <w:rPr>
                <w:rFonts w:hint="eastAsia" w:ascii="宋体" w:hAnsi="宋体" w:eastAsia="宋体" w:cs="宋体"/>
                <w:color w:val="auto"/>
                <w:sz w:val="22"/>
                <w:szCs w:val="22"/>
                <w:highlight w:val="none"/>
                <w:lang w:bidi="ar"/>
              </w:rPr>
              <w:t>，得</w:t>
            </w:r>
            <w:r>
              <w:rPr>
                <w:rFonts w:hint="eastAsia" w:ascii="宋体" w:hAnsi="宋体" w:eastAsia="宋体" w:cs="宋体"/>
                <w:color w:val="auto"/>
                <w:sz w:val="22"/>
                <w:szCs w:val="22"/>
                <w:highlight w:val="none"/>
                <w:lang w:val="en-US" w:eastAsia="zh-CN" w:bidi="ar"/>
              </w:rPr>
              <w:t>3</w:t>
            </w:r>
            <w:r>
              <w:rPr>
                <w:rFonts w:hint="eastAsia" w:ascii="宋体" w:hAnsi="宋体" w:eastAsia="宋体" w:cs="宋体"/>
                <w:color w:val="auto"/>
                <w:sz w:val="22"/>
                <w:szCs w:val="22"/>
                <w:highlight w:val="none"/>
                <w:lang w:bidi="ar"/>
              </w:rPr>
              <w:t>分；</w:t>
            </w:r>
          </w:p>
          <w:p>
            <w:pPr>
              <w:keepNext w:val="0"/>
              <w:keepLines w:val="0"/>
              <w:suppressLineNumbers w:val="0"/>
              <w:spacing w:before="0" w:beforeAutospacing="0" w:after="0" w:afterAutospacing="0"/>
              <w:ind w:left="0" w:right="0"/>
              <w:textAlignment w:val="center"/>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bidi="ar"/>
              </w:rPr>
              <w:t>3.安全管理</w:t>
            </w:r>
            <w:r>
              <w:rPr>
                <w:rFonts w:hint="eastAsia" w:ascii="宋体" w:hAnsi="宋体" w:eastAsia="宋体" w:cs="宋体"/>
                <w:color w:val="auto"/>
                <w:sz w:val="22"/>
                <w:szCs w:val="22"/>
                <w:highlight w:val="none"/>
                <w:lang w:val="en-US" w:eastAsia="zh-CN" w:bidi="ar"/>
              </w:rPr>
              <w:t>方案内容有待完善，</w:t>
            </w:r>
            <w:r>
              <w:rPr>
                <w:rFonts w:hint="eastAsia" w:ascii="宋体" w:hAnsi="宋体" w:eastAsia="宋体" w:cs="宋体"/>
                <w:color w:val="auto"/>
                <w:sz w:val="22"/>
                <w:szCs w:val="22"/>
                <w:highlight w:val="none"/>
                <w:lang w:bidi="ar"/>
              </w:rPr>
              <w:t>安全部门</w:t>
            </w:r>
            <w:r>
              <w:rPr>
                <w:rFonts w:hint="eastAsia" w:ascii="宋体" w:hAnsi="宋体" w:eastAsia="宋体" w:cs="宋体"/>
                <w:color w:val="auto"/>
                <w:sz w:val="22"/>
                <w:szCs w:val="22"/>
                <w:highlight w:val="none"/>
                <w:lang w:val="en-US" w:eastAsia="zh-CN" w:bidi="ar"/>
              </w:rPr>
              <w:t>制度职责有待完善</w:t>
            </w:r>
            <w:r>
              <w:rPr>
                <w:rFonts w:hint="eastAsia" w:ascii="宋体" w:hAnsi="宋体" w:eastAsia="宋体" w:cs="宋体"/>
                <w:color w:val="auto"/>
                <w:sz w:val="22"/>
                <w:szCs w:val="22"/>
                <w:highlight w:val="none"/>
                <w:lang w:eastAsia="zh-CN" w:bidi="ar"/>
              </w:rPr>
              <w:t>，</w:t>
            </w:r>
            <w:r>
              <w:rPr>
                <w:rFonts w:hint="eastAsia" w:ascii="宋体" w:hAnsi="宋体" w:eastAsia="宋体" w:cs="宋体"/>
                <w:color w:val="auto"/>
                <w:sz w:val="22"/>
                <w:szCs w:val="22"/>
                <w:highlight w:val="none"/>
                <w:lang w:val="en-US" w:eastAsia="zh-CN" w:bidi="ar"/>
              </w:rPr>
              <w:t>全流程安全体系内容有待完善的</w:t>
            </w:r>
            <w:r>
              <w:rPr>
                <w:rFonts w:hint="eastAsia" w:ascii="宋体" w:hAnsi="宋体" w:eastAsia="宋体" w:cs="宋体"/>
                <w:color w:val="auto"/>
                <w:sz w:val="22"/>
                <w:szCs w:val="22"/>
                <w:highlight w:val="none"/>
                <w:lang w:bidi="ar"/>
              </w:rPr>
              <w:t>，得</w:t>
            </w:r>
            <w:r>
              <w:rPr>
                <w:rFonts w:hint="eastAsia" w:ascii="宋体" w:hAnsi="宋体" w:eastAsia="宋体" w:cs="宋体"/>
                <w:color w:val="auto"/>
                <w:sz w:val="22"/>
                <w:szCs w:val="22"/>
                <w:highlight w:val="none"/>
                <w:lang w:val="en-US" w:eastAsia="zh-CN" w:bidi="ar"/>
              </w:rPr>
              <w:t>1</w:t>
            </w:r>
            <w:r>
              <w:rPr>
                <w:rFonts w:hint="eastAsia" w:ascii="宋体" w:hAnsi="宋体" w:eastAsia="宋体" w:cs="宋体"/>
                <w:color w:val="auto"/>
                <w:sz w:val="22"/>
                <w:szCs w:val="22"/>
                <w:highlight w:val="none"/>
                <w:lang w:bidi="ar"/>
              </w:rPr>
              <w:t>分；</w:t>
            </w:r>
          </w:p>
          <w:p>
            <w:pPr>
              <w:keepNext w:val="0"/>
              <w:keepLines w:val="0"/>
              <w:suppressLineNumbers w:val="0"/>
              <w:spacing w:before="0" w:beforeAutospacing="0" w:after="0" w:afterAutospacing="0"/>
              <w:ind w:left="0" w:right="0"/>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bidi="ar"/>
              </w:rPr>
              <w:t>4.未提供不得分</w:t>
            </w:r>
            <w:r>
              <w:rPr>
                <w:rFonts w:hint="eastAsia" w:ascii="宋体" w:hAnsi="宋体" w:eastAsia="宋体" w:cs="宋体"/>
                <w:color w:val="auto"/>
                <w:sz w:val="22"/>
                <w:szCs w:val="22"/>
                <w:highlight w:val="none"/>
                <w:lang w:bidi="ar"/>
              </w:rPr>
              <w:t>。</w:t>
            </w:r>
          </w:p>
        </w:tc>
        <w:tc>
          <w:tcPr>
            <w:tcW w:w="931" w:type="dxa"/>
            <w:shd w:val="clear" w:color="auto" w:fill="FFFFFF"/>
            <w:vAlign w:val="center"/>
          </w:tcPr>
          <w:p>
            <w:pPr>
              <w:keepNext w:val="0"/>
              <w:keepLines w:val="0"/>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bidi="ar"/>
              </w:rPr>
              <w:t>5</w:t>
            </w:r>
            <w:r>
              <w:rPr>
                <w:rFonts w:hint="eastAsia" w:ascii="宋体" w:hAnsi="宋体" w:eastAsia="宋体" w:cs="宋体"/>
                <w:color w:val="auto"/>
                <w:sz w:val="22"/>
                <w:szCs w:val="22"/>
                <w:highlight w:val="none"/>
                <w:lang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8" w:type="dxa"/>
            <w:vMerge w:val="continue"/>
            <w:shd w:val="clear" w:color="auto" w:fill="FFFFFF"/>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370" w:type="dxa"/>
            <w:shd w:val="clear" w:color="auto" w:fill="FFFFFF"/>
            <w:vAlign w:val="center"/>
          </w:tcPr>
          <w:p>
            <w:pPr>
              <w:keepNext w:val="0"/>
              <w:keepLines w:val="0"/>
              <w:suppressLineNumbers w:val="0"/>
              <w:spacing w:before="0" w:beforeAutospacing="0" w:after="0" w:afterAutospacing="0"/>
              <w:ind w:left="0" w:leftChars="0" w:right="0" w:rightChars="0"/>
              <w:jc w:val="center"/>
              <w:textAlignment w:val="center"/>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bidi="ar"/>
              </w:rPr>
              <w:t>公共数据</w:t>
            </w:r>
            <w:r>
              <w:rPr>
                <w:rFonts w:hint="eastAsia" w:ascii="宋体" w:hAnsi="宋体" w:eastAsia="宋体" w:cs="宋体"/>
                <w:color w:val="auto"/>
                <w:sz w:val="22"/>
                <w:szCs w:val="22"/>
                <w:highlight w:val="none"/>
                <w:lang w:val="en-US" w:eastAsia="zh-CN" w:bidi="ar"/>
              </w:rPr>
              <w:t>处理方案</w:t>
            </w:r>
          </w:p>
        </w:tc>
        <w:tc>
          <w:tcPr>
            <w:tcW w:w="5671" w:type="dxa"/>
            <w:shd w:val="clear" w:color="auto" w:fill="FFFFFF"/>
            <w:vAlign w:val="center"/>
          </w:tcPr>
          <w:p>
            <w:pPr>
              <w:keepNext w:val="0"/>
              <w:keepLines w:val="0"/>
              <w:suppressLineNumbers w:val="0"/>
              <w:spacing w:before="0" w:beforeAutospacing="0" w:after="0" w:afterAutospacing="0"/>
              <w:ind w:left="0" w:right="0"/>
              <w:textAlignment w:val="center"/>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val="en-US" w:eastAsia="zh-CN" w:bidi="ar"/>
              </w:rPr>
              <w:t>根据投标人提供的</w:t>
            </w:r>
            <w:r>
              <w:rPr>
                <w:rFonts w:hint="eastAsia" w:ascii="宋体" w:hAnsi="宋体" w:eastAsia="宋体" w:cs="宋体"/>
                <w:color w:val="auto"/>
                <w:sz w:val="22"/>
                <w:szCs w:val="22"/>
                <w:highlight w:val="none"/>
                <w:lang w:bidi="ar"/>
              </w:rPr>
              <w:t>公共数据</w:t>
            </w:r>
            <w:r>
              <w:rPr>
                <w:rFonts w:hint="eastAsia" w:ascii="宋体" w:hAnsi="宋体" w:eastAsia="宋体" w:cs="宋体"/>
                <w:color w:val="auto"/>
                <w:sz w:val="22"/>
                <w:szCs w:val="22"/>
                <w:highlight w:val="none"/>
                <w:lang w:val="en-US" w:eastAsia="zh-CN" w:bidi="ar"/>
              </w:rPr>
              <w:t>处理方案进行评审：包括但不限于对公共数据流通、治理、加工与产品开发等内容。</w:t>
            </w:r>
            <w:r>
              <w:rPr>
                <w:rFonts w:hint="default" w:ascii="宋体" w:hAnsi="宋体" w:eastAsia="宋体" w:cs="宋体"/>
                <w:color w:val="auto"/>
                <w:sz w:val="22"/>
                <w:szCs w:val="22"/>
                <w:highlight w:val="none"/>
                <w:lang w:val="en-US" w:eastAsia="zh-CN" w:bidi="ar"/>
              </w:rPr>
              <w:t xml:space="preserve"> </w:t>
            </w:r>
          </w:p>
          <w:p>
            <w:pPr>
              <w:keepNext w:val="0"/>
              <w:keepLines w:val="0"/>
              <w:suppressLineNumbers w:val="0"/>
              <w:spacing w:before="0" w:beforeAutospacing="0" w:after="0" w:afterAutospacing="0"/>
              <w:ind w:left="0" w:right="0"/>
              <w:textAlignment w:val="center"/>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bidi="ar"/>
              </w:rPr>
              <w:t>1.公共数据</w:t>
            </w:r>
            <w:r>
              <w:rPr>
                <w:rFonts w:hint="eastAsia" w:ascii="宋体" w:hAnsi="宋体" w:eastAsia="宋体" w:cs="宋体"/>
                <w:color w:val="auto"/>
                <w:sz w:val="22"/>
                <w:szCs w:val="22"/>
                <w:highlight w:val="none"/>
                <w:lang w:val="en-US" w:eastAsia="zh-CN" w:bidi="ar"/>
              </w:rPr>
              <w:t>处理方案内容完善详细</w:t>
            </w:r>
            <w:r>
              <w:rPr>
                <w:rFonts w:hint="eastAsia" w:ascii="宋体" w:hAnsi="宋体" w:eastAsia="宋体" w:cs="宋体"/>
                <w:color w:val="auto"/>
                <w:sz w:val="22"/>
                <w:szCs w:val="22"/>
                <w:highlight w:val="none"/>
                <w:lang w:bidi="ar"/>
              </w:rPr>
              <w:t>，</w:t>
            </w:r>
            <w:r>
              <w:rPr>
                <w:rFonts w:hint="eastAsia" w:ascii="宋体" w:hAnsi="宋体" w:eastAsia="宋体" w:cs="宋体"/>
                <w:color w:val="auto"/>
                <w:sz w:val="22"/>
                <w:szCs w:val="22"/>
                <w:highlight w:val="none"/>
                <w:lang w:val="en-US" w:eastAsia="zh-CN" w:bidi="ar"/>
              </w:rPr>
              <w:t>可行性、针对性强的</w:t>
            </w:r>
            <w:r>
              <w:rPr>
                <w:rFonts w:hint="eastAsia" w:ascii="宋体" w:hAnsi="宋体" w:eastAsia="宋体" w:cs="宋体"/>
                <w:color w:val="auto"/>
                <w:sz w:val="22"/>
                <w:szCs w:val="22"/>
                <w:highlight w:val="none"/>
                <w:lang w:bidi="ar"/>
              </w:rPr>
              <w:t>，得</w:t>
            </w:r>
            <w:r>
              <w:rPr>
                <w:rFonts w:hint="eastAsia" w:ascii="宋体" w:hAnsi="宋体" w:eastAsia="宋体" w:cs="宋体"/>
                <w:color w:val="auto"/>
                <w:sz w:val="22"/>
                <w:szCs w:val="22"/>
                <w:highlight w:val="none"/>
                <w:lang w:val="en-US" w:eastAsia="zh-CN" w:bidi="ar"/>
              </w:rPr>
              <w:t>5</w:t>
            </w:r>
            <w:r>
              <w:rPr>
                <w:rFonts w:hint="eastAsia" w:ascii="宋体" w:hAnsi="宋体" w:eastAsia="宋体" w:cs="宋体"/>
                <w:color w:val="auto"/>
                <w:sz w:val="22"/>
                <w:szCs w:val="22"/>
                <w:highlight w:val="none"/>
                <w:lang w:bidi="ar"/>
              </w:rPr>
              <w:t>分；</w:t>
            </w:r>
          </w:p>
          <w:p>
            <w:pPr>
              <w:keepNext w:val="0"/>
              <w:keepLines w:val="0"/>
              <w:suppressLineNumbers w:val="0"/>
              <w:spacing w:before="0" w:beforeAutospacing="0" w:after="0" w:afterAutospacing="0"/>
              <w:ind w:left="0" w:right="0"/>
              <w:textAlignment w:val="center"/>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bidi="ar"/>
              </w:rPr>
              <w:t>1.公共数据</w:t>
            </w:r>
            <w:r>
              <w:rPr>
                <w:rFonts w:hint="eastAsia" w:ascii="宋体" w:hAnsi="宋体" w:eastAsia="宋体" w:cs="宋体"/>
                <w:color w:val="auto"/>
                <w:sz w:val="22"/>
                <w:szCs w:val="22"/>
                <w:highlight w:val="none"/>
                <w:lang w:val="en-US" w:eastAsia="zh-CN" w:bidi="ar"/>
              </w:rPr>
              <w:t>处理方案内容基本完整</w:t>
            </w:r>
            <w:r>
              <w:rPr>
                <w:rFonts w:hint="eastAsia" w:ascii="宋体" w:hAnsi="宋体" w:eastAsia="宋体" w:cs="宋体"/>
                <w:color w:val="auto"/>
                <w:sz w:val="22"/>
                <w:szCs w:val="22"/>
                <w:highlight w:val="none"/>
                <w:lang w:bidi="ar"/>
              </w:rPr>
              <w:t>，</w:t>
            </w:r>
            <w:r>
              <w:rPr>
                <w:rFonts w:hint="eastAsia" w:ascii="宋体" w:hAnsi="宋体" w:eastAsia="宋体" w:cs="宋体"/>
                <w:color w:val="auto"/>
                <w:sz w:val="22"/>
                <w:szCs w:val="22"/>
                <w:highlight w:val="none"/>
                <w:lang w:val="en-US" w:eastAsia="zh-CN" w:bidi="ar"/>
              </w:rPr>
              <w:t>有可行性的</w:t>
            </w:r>
            <w:r>
              <w:rPr>
                <w:rFonts w:hint="eastAsia" w:ascii="宋体" w:hAnsi="宋体" w:eastAsia="宋体" w:cs="宋体"/>
                <w:color w:val="auto"/>
                <w:sz w:val="22"/>
                <w:szCs w:val="22"/>
                <w:highlight w:val="none"/>
                <w:lang w:bidi="ar"/>
              </w:rPr>
              <w:t>，得</w:t>
            </w:r>
            <w:r>
              <w:rPr>
                <w:rFonts w:hint="eastAsia" w:ascii="宋体" w:hAnsi="宋体" w:eastAsia="宋体" w:cs="宋体"/>
                <w:color w:val="auto"/>
                <w:sz w:val="22"/>
                <w:szCs w:val="22"/>
                <w:highlight w:val="none"/>
                <w:lang w:val="en-US" w:eastAsia="zh-CN" w:bidi="ar"/>
              </w:rPr>
              <w:t>3</w:t>
            </w:r>
            <w:r>
              <w:rPr>
                <w:rFonts w:hint="eastAsia" w:ascii="宋体" w:hAnsi="宋体" w:eastAsia="宋体" w:cs="宋体"/>
                <w:color w:val="auto"/>
                <w:sz w:val="22"/>
                <w:szCs w:val="22"/>
                <w:highlight w:val="none"/>
                <w:lang w:bidi="ar"/>
              </w:rPr>
              <w:t>分；</w:t>
            </w:r>
          </w:p>
          <w:p>
            <w:pPr>
              <w:keepNext w:val="0"/>
              <w:keepLines w:val="0"/>
              <w:suppressLineNumbers w:val="0"/>
              <w:spacing w:before="0" w:beforeAutospacing="0" w:after="0" w:afterAutospacing="0"/>
              <w:ind w:left="0" w:right="0"/>
              <w:textAlignment w:val="center"/>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bidi="ar"/>
              </w:rPr>
              <w:t>3.1.公共数据</w:t>
            </w:r>
            <w:r>
              <w:rPr>
                <w:rFonts w:hint="eastAsia" w:ascii="宋体" w:hAnsi="宋体" w:eastAsia="宋体" w:cs="宋体"/>
                <w:color w:val="auto"/>
                <w:sz w:val="22"/>
                <w:szCs w:val="22"/>
                <w:highlight w:val="none"/>
                <w:lang w:val="en-US" w:eastAsia="zh-CN" w:bidi="ar"/>
              </w:rPr>
              <w:t>处理方案内容有待完善的</w:t>
            </w:r>
            <w:r>
              <w:rPr>
                <w:rFonts w:hint="eastAsia" w:ascii="宋体" w:hAnsi="宋体" w:eastAsia="宋体" w:cs="宋体"/>
                <w:color w:val="auto"/>
                <w:sz w:val="22"/>
                <w:szCs w:val="22"/>
                <w:highlight w:val="none"/>
                <w:lang w:bidi="ar"/>
              </w:rPr>
              <w:t>，得</w:t>
            </w:r>
            <w:r>
              <w:rPr>
                <w:rFonts w:hint="eastAsia" w:ascii="宋体" w:hAnsi="宋体" w:eastAsia="宋体" w:cs="宋体"/>
                <w:color w:val="auto"/>
                <w:sz w:val="22"/>
                <w:szCs w:val="22"/>
                <w:highlight w:val="none"/>
                <w:lang w:val="en-US" w:eastAsia="zh-CN" w:bidi="ar"/>
              </w:rPr>
              <w:t>1</w:t>
            </w:r>
            <w:r>
              <w:rPr>
                <w:rFonts w:hint="eastAsia" w:ascii="宋体" w:hAnsi="宋体" w:eastAsia="宋体" w:cs="宋体"/>
                <w:color w:val="auto"/>
                <w:sz w:val="22"/>
                <w:szCs w:val="22"/>
                <w:highlight w:val="none"/>
                <w:lang w:bidi="ar"/>
              </w:rPr>
              <w:t>分；</w:t>
            </w:r>
          </w:p>
          <w:p>
            <w:pPr>
              <w:keepNext w:val="0"/>
              <w:keepLines w:val="0"/>
              <w:suppressLineNumbers w:val="0"/>
              <w:spacing w:before="0" w:beforeAutospacing="0" w:after="0" w:afterAutospacing="0"/>
              <w:ind w:left="0" w:leftChars="0" w:right="0" w:rightChars="0"/>
              <w:textAlignment w:val="center"/>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4.未提供不得分</w:t>
            </w:r>
            <w:r>
              <w:rPr>
                <w:rFonts w:hint="eastAsia" w:ascii="宋体" w:hAnsi="宋体" w:eastAsia="宋体" w:cs="宋体"/>
                <w:color w:val="auto"/>
                <w:sz w:val="22"/>
                <w:szCs w:val="22"/>
                <w:highlight w:val="none"/>
                <w:lang w:bidi="ar"/>
              </w:rPr>
              <w:t>。</w:t>
            </w:r>
          </w:p>
        </w:tc>
        <w:tc>
          <w:tcPr>
            <w:tcW w:w="931" w:type="dxa"/>
            <w:shd w:val="clear" w:color="auto" w:fill="FFFFFF"/>
            <w:vAlign w:val="center"/>
          </w:tcPr>
          <w:p>
            <w:pPr>
              <w:keepNext w:val="0"/>
              <w:keepLines w:val="0"/>
              <w:suppressLineNumbers w:val="0"/>
              <w:spacing w:before="0" w:beforeAutospacing="0" w:after="0" w:afterAutospacing="0"/>
              <w:ind w:left="0" w:leftChars="0" w:right="0" w:rightChars="0"/>
              <w:jc w:val="center"/>
              <w:textAlignment w:val="center"/>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5</w:t>
            </w:r>
            <w:r>
              <w:rPr>
                <w:rFonts w:hint="eastAsia" w:ascii="宋体" w:hAnsi="宋体" w:eastAsia="宋体" w:cs="宋体"/>
                <w:color w:val="auto"/>
                <w:sz w:val="22"/>
                <w:szCs w:val="22"/>
                <w:highlight w:val="none"/>
                <w:lang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jc w:val="center"/>
        </w:trPr>
        <w:tc>
          <w:tcPr>
            <w:tcW w:w="1398" w:type="dxa"/>
            <w:vMerge w:val="continue"/>
            <w:shd w:val="clear" w:color="auto" w:fill="FFFFFF"/>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370" w:type="dxa"/>
            <w:shd w:val="clear" w:color="auto" w:fill="FFFFFF"/>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宋体" w:hAnsi="宋体" w:eastAsia="宋体" w:cs="宋体"/>
                <w:color w:val="auto"/>
                <w:sz w:val="22"/>
                <w:szCs w:val="22"/>
                <w:highlight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质量保证措施</w:t>
            </w:r>
          </w:p>
        </w:tc>
        <w:tc>
          <w:tcPr>
            <w:tcW w:w="5671" w:type="dxa"/>
            <w:shd w:val="clear" w:color="auto" w:fill="FFFFFF"/>
            <w:vAlign w:val="center"/>
          </w:tcPr>
          <w:p>
            <w:pPr>
              <w:keepNext w:val="0"/>
              <w:keepLines w:val="0"/>
              <w:widowControl/>
              <w:numPr>
                <w:ilvl w:val="0"/>
                <w:numId w:val="0"/>
              </w:numPr>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根据投标人提供的质量保证措施（包括但不限于数据安全、质控人员安排、内控制度等）进行综合评审：</w:t>
            </w:r>
          </w:p>
          <w:p>
            <w:pPr>
              <w:keepNext w:val="0"/>
              <w:keepLines w:val="0"/>
              <w:suppressLineNumbers w:val="0"/>
              <w:spacing w:before="0" w:beforeAutospacing="0" w:after="0" w:afterAutospacing="0"/>
              <w:ind w:left="0" w:right="0"/>
              <w:textAlignment w:val="center"/>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1.质量保证措施完整详实、条理清晰，贴合项目需求、可实施性强，得5分；</w:t>
            </w:r>
          </w:p>
          <w:p>
            <w:pPr>
              <w:keepNext w:val="0"/>
              <w:keepLines w:val="0"/>
              <w:suppressLineNumbers w:val="0"/>
              <w:spacing w:before="0" w:beforeAutospacing="0" w:after="0" w:afterAutospacing="0"/>
              <w:ind w:left="0" w:right="0"/>
              <w:textAlignment w:val="center"/>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2.质量保证措施基本满足项目需求、具有可实施性的，得3分；</w:t>
            </w:r>
          </w:p>
          <w:p>
            <w:pPr>
              <w:keepNext w:val="0"/>
              <w:keepLines w:val="0"/>
              <w:suppressLineNumbers w:val="0"/>
              <w:spacing w:before="0" w:beforeAutospacing="0" w:after="0" w:afterAutospacing="0"/>
              <w:ind w:left="0" w:right="0"/>
              <w:textAlignment w:val="center"/>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3.质量保证措施有待完善的，得1分；</w:t>
            </w:r>
          </w:p>
          <w:p>
            <w:pPr>
              <w:keepNext w:val="0"/>
              <w:keepLines w:val="0"/>
              <w:suppressLineNumbers w:val="0"/>
              <w:spacing w:before="0" w:beforeAutospacing="0" w:after="0" w:afterAutospacing="0"/>
              <w:ind w:left="0" w:right="0"/>
              <w:textAlignment w:val="center"/>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val="en-US" w:eastAsia="zh-CN" w:bidi="ar"/>
              </w:rPr>
              <w:t>4.未提供不得分。</w:t>
            </w:r>
          </w:p>
        </w:tc>
        <w:tc>
          <w:tcPr>
            <w:tcW w:w="931" w:type="dxa"/>
            <w:shd w:val="clear" w:color="auto" w:fill="FFFFFF"/>
            <w:vAlign w:val="center"/>
          </w:tcPr>
          <w:p>
            <w:pPr>
              <w:keepNext w:val="0"/>
              <w:keepLines w:val="0"/>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5分</w:t>
            </w:r>
          </w:p>
        </w:tc>
      </w:tr>
    </w:tbl>
    <w:p>
      <w:pPr>
        <w:pStyle w:val="8"/>
        <w:rPr>
          <w:rFonts w:ascii="宋体" w:hAnsi="宋体" w:eastAsia="宋体"/>
          <w:color w:val="auto"/>
          <w:sz w:val="24"/>
          <w:highlight w:val="none"/>
        </w:rPr>
      </w:pPr>
    </w:p>
    <w:p>
      <w:pPr>
        <w:rPr>
          <w:rFonts w:ascii="宋体" w:hAnsi="宋体" w:eastAsia="宋体"/>
          <w:color w:val="auto"/>
          <w:sz w:val="24"/>
          <w:highlight w:val="none"/>
        </w:rPr>
      </w:pPr>
    </w:p>
    <w:p>
      <w:pPr>
        <w:pStyle w:val="8"/>
        <w:rPr>
          <w:rFonts w:ascii="宋体" w:hAnsi="宋体" w:eastAsia="宋体"/>
          <w:color w:val="auto"/>
          <w:sz w:val="24"/>
          <w:highlight w:val="none"/>
        </w:rPr>
      </w:pPr>
    </w:p>
    <w:p>
      <w:pPr>
        <w:rPr>
          <w:color w:val="auto"/>
          <w:highlight w:val="none"/>
        </w:rPr>
      </w:pPr>
    </w:p>
    <w:p>
      <w:pPr>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ascii="宋体" w:hAnsi="宋体" w:eastAsia="宋体"/>
          <w:color w:val="auto"/>
          <w:sz w:val="24"/>
          <w:highlight w:val="none"/>
        </w:rPr>
      </w:pPr>
    </w:p>
    <w:p>
      <w:pPr>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.3分值汇总</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olor w:val="auto"/>
          <w:sz w:val="24"/>
          <w:highlight w:val="none"/>
        </w:rPr>
      </w:pPr>
      <w:bookmarkStart w:id="20" w:name="_TOC_250001"/>
      <w:r>
        <w:rPr>
          <w:rFonts w:hint="eastAsia" w:ascii="宋体" w:hAnsi="宋体" w:eastAsia="宋体"/>
          <w:color w:val="auto"/>
          <w:sz w:val="24"/>
          <w:highlight w:val="none"/>
        </w:rPr>
        <w:t>（1）评标委员会各成员应当独立对每个有效投标人的投标文件进行评分，并汇总每个投标人的得分。取各位评委评分之平均值，四舍五入保留至小数点后两位数，得到该投标人的技术资信分。</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olor w:val="auto"/>
          <w:sz w:val="24"/>
          <w:highlight w:val="none"/>
        </w:rPr>
      </w:pPr>
      <w:r>
        <w:rPr>
          <w:rFonts w:hint="eastAsia" w:ascii="宋体" w:hAnsi="宋体" w:eastAsia="宋体"/>
          <w:color w:val="auto"/>
          <w:sz w:val="24"/>
          <w:highlight w:val="none"/>
        </w:rPr>
        <w:t>（2）投标人的技术资信分即为该投标人的综合总得分。</w:t>
      </w:r>
    </w:p>
    <w:p>
      <w:pPr>
        <w:rPr>
          <w:rFonts w:hint="eastAsia"/>
          <w:b/>
          <w:bCs/>
          <w:color w:val="auto"/>
          <w:spacing w:val="1"/>
          <w:sz w:val="24"/>
          <w:szCs w:val="24"/>
          <w:highlight w:val="none"/>
          <w:lang w:eastAsia="zh-CN"/>
        </w:rPr>
      </w:pPr>
      <w:r>
        <w:rPr>
          <w:rFonts w:hint="eastAsia"/>
          <w:b/>
          <w:bCs/>
          <w:color w:val="auto"/>
          <w:spacing w:val="1"/>
          <w:sz w:val="24"/>
          <w:szCs w:val="24"/>
          <w:highlight w:val="none"/>
          <w:lang w:eastAsia="zh-CN"/>
        </w:rPr>
        <w:br w:type="page"/>
      </w:r>
    </w:p>
    <w:p>
      <w:pPr>
        <w:rPr>
          <w:rFonts w:hint="eastAsia"/>
          <w:color w:val="auto"/>
          <w:highlight w:val="none"/>
          <w:lang w:eastAsia="zh-CN"/>
        </w:rPr>
      </w:pPr>
    </w:p>
    <w:p>
      <w:pPr>
        <w:pStyle w:val="2"/>
        <w:tabs>
          <w:tab w:val="left" w:pos="1622"/>
        </w:tabs>
        <w:snapToGrid w:val="0"/>
        <w:spacing w:line="360" w:lineRule="auto"/>
        <w:ind w:right="109"/>
        <w:jc w:val="center"/>
        <w:rPr>
          <w:rFonts w:hint="eastAsia"/>
          <w:b/>
          <w:bCs/>
          <w:color w:val="auto"/>
          <w:spacing w:val="1"/>
          <w:sz w:val="24"/>
          <w:szCs w:val="24"/>
          <w:highlight w:val="none"/>
          <w:lang w:eastAsia="zh-CN"/>
        </w:rPr>
      </w:pPr>
    </w:p>
    <w:p>
      <w:pPr>
        <w:pStyle w:val="2"/>
        <w:tabs>
          <w:tab w:val="left" w:pos="1622"/>
        </w:tabs>
        <w:snapToGrid w:val="0"/>
        <w:spacing w:line="360" w:lineRule="auto"/>
        <w:ind w:right="109"/>
        <w:jc w:val="center"/>
        <w:rPr>
          <w:rFonts w:hint="eastAsia"/>
          <w:b/>
          <w:bCs/>
          <w:color w:val="auto"/>
          <w:spacing w:val="1"/>
          <w:sz w:val="24"/>
          <w:szCs w:val="24"/>
          <w:highlight w:val="none"/>
          <w:lang w:eastAsia="zh-CN"/>
        </w:rPr>
      </w:pPr>
    </w:p>
    <w:p>
      <w:pPr>
        <w:pStyle w:val="2"/>
        <w:tabs>
          <w:tab w:val="left" w:pos="1622"/>
        </w:tabs>
        <w:snapToGrid w:val="0"/>
        <w:spacing w:line="360" w:lineRule="auto"/>
        <w:ind w:right="109"/>
        <w:jc w:val="center"/>
        <w:rPr>
          <w:rFonts w:hint="default"/>
          <w:b/>
          <w:bCs/>
          <w:color w:val="auto"/>
          <w:spacing w:val="1"/>
          <w:sz w:val="24"/>
          <w:szCs w:val="24"/>
          <w:highlight w:val="none"/>
          <w:lang w:val="en-US" w:eastAsia="zh-CN"/>
        </w:rPr>
      </w:pPr>
      <w:r>
        <w:rPr>
          <w:rFonts w:hint="eastAsia"/>
          <w:b/>
          <w:bCs/>
          <w:color w:val="auto"/>
          <w:spacing w:val="1"/>
          <w:sz w:val="24"/>
          <w:szCs w:val="24"/>
          <w:highlight w:val="none"/>
          <w:lang w:eastAsia="zh-CN"/>
        </w:rPr>
        <w:t>第五章</w:t>
      </w:r>
      <w:bookmarkEnd w:id="20"/>
      <w:r>
        <w:rPr>
          <w:rFonts w:hint="eastAsia"/>
          <w:b/>
          <w:bCs/>
          <w:color w:val="auto"/>
          <w:spacing w:val="1"/>
          <w:sz w:val="24"/>
          <w:szCs w:val="24"/>
          <w:highlight w:val="none"/>
          <w:lang w:eastAsia="zh-CN"/>
        </w:rPr>
        <w:t xml:space="preserve">   政府采购合同</w:t>
      </w:r>
      <w:r>
        <w:rPr>
          <w:rFonts w:hint="eastAsia"/>
          <w:b/>
          <w:bCs/>
          <w:color w:val="auto"/>
          <w:spacing w:val="1"/>
          <w:sz w:val="24"/>
          <w:szCs w:val="24"/>
          <w:highlight w:val="none"/>
          <w:lang w:val="en-US" w:eastAsia="zh-CN"/>
        </w:rPr>
        <w:t>/协议</w:t>
      </w:r>
    </w:p>
    <w:p>
      <w:pPr>
        <w:spacing w:line="480" w:lineRule="auto"/>
        <w:jc w:val="center"/>
        <w:rPr>
          <w:rFonts w:hint="eastAsia" w:ascii="宋体" w:hAnsi="宋体" w:eastAsia="宋体" w:cs="Times New Roman"/>
          <w:b/>
          <w:color w:val="auto"/>
          <w:kern w:val="2"/>
          <w:sz w:val="28"/>
          <w:szCs w:val="28"/>
          <w:highlight w:val="none"/>
          <w:lang w:eastAsia="zh-CN"/>
        </w:rPr>
      </w:pPr>
      <w:bookmarkStart w:id="21" w:name="_TOC_250000"/>
    </w:p>
    <w:p>
      <w:pPr>
        <w:spacing w:line="480" w:lineRule="auto"/>
        <w:jc w:val="center"/>
        <w:rPr>
          <w:rFonts w:hint="eastAsia" w:ascii="宋体" w:hAnsi="宋体" w:eastAsia="宋体" w:cs="Times New Roman"/>
          <w:b/>
          <w:color w:val="auto"/>
          <w:kern w:val="2"/>
          <w:sz w:val="28"/>
          <w:szCs w:val="28"/>
          <w:highlight w:val="none"/>
          <w:lang w:eastAsia="zh-CN"/>
        </w:rPr>
      </w:pPr>
    </w:p>
    <w:p>
      <w:pPr>
        <w:spacing w:line="480" w:lineRule="auto"/>
        <w:jc w:val="center"/>
        <w:rPr>
          <w:rFonts w:hint="eastAsia" w:ascii="宋体" w:hAnsi="宋体" w:eastAsia="宋体" w:cs="Times New Roman"/>
          <w:b/>
          <w:color w:val="auto"/>
          <w:kern w:val="2"/>
          <w:sz w:val="28"/>
          <w:szCs w:val="28"/>
          <w:highlight w:val="none"/>
          <w:lang w:eastAsia="zh-CN"/>
        </w:rPr>
      </w:pPr>
      <w:r>
        <w:rPr>
          <w:rFonts w:hint="eastAsia" w:ascii="宋体" w:hAnsi="宋体" w:eastAsia="宋体" w:cs="Times New Roman"/>
          <w:b/>
          <w:color w:val="auto"/>
          <w:kern w:val="2"/>
          <w:sz w:val="28"/>
          <w:szCs w:val="28"/>
          <w:highlight w:val="none"/>
          <w:lang w:eastAsia="zh-CN"/>
        </w:rPr>
        <w:t>（</w:t>
      </w:r>
      <w:r>
        <w:rPr>
          <w:rFonts w:hint="eastAsia" w:ascii="宋体" w:hAnsi="宋体" w:eastAsia="宋体" w:cs="Times New Roman"/>
          <w:b/>
          <w:color w:val="auto"/>
          <w:kern w:val="2"/>
          <w:sz w:val="28"/>
          <w:szCs w:val="28"/>
          <w:highlight w:val="none"/>
          <w:lang w:val="en-US" w:eastAsia="zh-CN"/>
        </w:rPr>
        <w:t>双方协商拟定</w:t>
      </w:r>
      <w:r>
        <w:rPr>
          <w:rFonts w:hint="eastAsia" w:ascii="宋体" w:hAnsi="宋体" w:eastAsia="宋体" w:cs="Times New Roman"/>
          <w:b/>
          <w:color w:val="auto"/>
          <w:kern w:val="2"/>
          <w:sz w:val="28"/>
          <w:szCs w:val="28"/>
          <w:highlight w:val="none"/>
          <w:lang w:eastAsia="zh-CN"/>
        </w:rPr>
        <w:t>）</w:t>
      </w:r>
    </w:p>
    <w:p>
      <w:pPr>
        <w:spacing w:after="120"/>
        <w:jc w:val="both"/>
        <w:rPr>
          <w:rFonts w:hint="eastAsia" w:ascii="@微软简标宋" w:hAnsi="@微软简标宋" w:eastAsia="@微软简标宋" w:cs="@微软简标宋"/>
          <w:color w:val="auto"/>
          <w:kern w:val="2"/>
          <w:sz w:val="21"/>
          <w:highlight w:val="none"/>
          <w:lang w:val="zh-CN" w:eastAsia="zh-CN"/>
        </w:rPr>
      </w:pPr>
    </w:p>
    <w:p>
      <w:pPr>
        <w:rPr>
          <w:rFonts w:hint="eastAsia" w:ascii="宋体" w:hAnsi="宋体" w:eastAsia="宋体"/>
          <w:b/>
          <w:bCs/>
          <w:color w:val="auto"/>
          <w:highlight w:val="none"/>
          <w:lang w:eastAsia="zh-CN"/>
        </w:rPr>
      </w:pPr>
      <w:r>
        <w:rPr>
          <w:rFonts w:hint="eastAsia" w:ascii="宋体" w:hAnsi="宋体" w:eastAsia="宋体"/>
          <w:b/>
          <w:bCs/>
          <w:color w:val="auto"/>
          <w:highlight w:val="none"/>
          <w:lang w:eastAsia="zh-CN"/>
        </w:rPr>
        <w:br w:type="page"/>
      </w:r>
    </w:p>
    <w:p>
      <w:pPr>
        <w:pStyle w:val="2"/>
        <w:tabs>
          <w:tab w:val="left" w:pos="4386"/>
        </w:tabs>
        <w:spacing w:line="460" w:lineRule="exact"/>
        <w:ind w:left="2761"/>
        <w:rPr>
          <w:rFonts w:hint="eastAsia"/>
          <w:b/>
          <w:bCs/>
          <w:color w:val="auto"/>
          <w:sz w:val="24"/>
          <w:szCs w:val="24"/>
          <w:highlight w:val="none"/>
          <w:lang w:eastAsia="zh-CN"/>
        </w:rPr>
      </w:pPr>
      <w:r>
        <w:rPr>
          <w:rFonts w:hint="eastAsia"/>
          <w:b/>
          <w:bCs/>
          <w:color w:val="auto"/>
          <w:sz w:val="24"/>
          <w:szCs w:val="24"/>
          <w:highlight w:val="none"/>
          <w:lang w:eastAsia="zh-CN"/>
        </w:rPr>
        <w:t>第六章</w:t>
      </w:r>
      <w:bookmarkEnd w:id="21"/>
      <w:r>
        <w:rPr>
          <w:rFonts w:hint="eastAsia"/>
          <w:b/>
          <w:bCs/>
          <w:color w:val="auto"/>
          <w:sz w:val="24"/>
          <w:szCs w:val="24"/>
          <w:highlight w:val="none"/>
          <w:lang w:eastAsia="zh-CN"/>
        </w:rPr>
        <w:t xml:space="preserve">   </w:t>
      </w:r>
      <w:r>
        <w:rPr>
          <w:rFonts w:hint="eastAsia"/>
          <w:b/>
          <w:bCs/>
          <w:color w:val="auto"/>
          <w:spacing w:val="1"/>
          <w:sz w:val="24"/>
          <w:szCs w:val="24"/>
          <w:highlight w:val="none"/>
          <w:lang w:eastAsia="zh-CN"/>
        </w:rPr>
        <w:t>投标文件格式</w:t>
      </w:r>
    </w:p>
    <w:p>
      <w:pPr>
        <w:rPr>
          <w:rFonts w:hint="eastAsia" w:ascii="宋体" w:hAnsi="宋体" w:eastAsia="宋体"/>
          <w:color w:val="auto"/>
          <w:highlight w:val="none"/>
          <w:lang w:eastAsia="zh-CN"/>
        </w:rPr>
      </w:pPr>
    </w:p>
    <w:p>
      <w:pPr>
        <w:spacing w:before="1"/>
        <w:rPr>
          <w:rFonts w:hint="eastAsia" w:ascii="宋体" w:hAnsi="宋体" w:eastAsia="宋体"/>
          <w:color w:val="auto"/>
          <w:highlight w:val="none"/>
          <w:lang w:eastAsia="zh-CN"/>
        </w:rPr>
      </w:pPr>
    </w:p>
    <w:p>
      <w:pPr>
        <w:pStyle w:val="8"/>
        <w:snapToGrid w:val="0"/>
        <w:spacing w:before="0" w:line="360" w:lineRule="auto"/>
        <w:ind w:left="0" w:right="213" w:firstLine="484" w:firstLineChars="200"/>
        <w:jc w:val="both"/>
        <w:rPr>
          <w:rFonts w:hint="eastAsia"/>
          <w:color w:val="auto"/>
          <w:spacing w:val="1"/>
          <w:highlight w:val="none"/>
          <w:lang w:eastAsia="zh-CN"/>
        </w:rPr>
      </w:pPr>
      <w:r>
        <w:rPr>
          <w:rFonts w:hint="eastAsia"/>
          <w:color w:val="auto"/>
          <w:spacing w:val="1"/>
          <w:highlight w:val="none"/>
          <w:lang w:eastAsia="zh-CN"/>
        </w:rPr>
        <w:t>投标人编制文件须知：</w:t>
      </w:r>
    </w:p>
    <w:p>
      <w:pPr>
        <w:pStyle w:val="8"/>
        <w:snapToGrid w:val="0"/>
        <w:spacing w:before="0" w:line="360" w:lineRule="auto"/>
        <w:ind w:left="0" w:right="213" w:firstLine="484" w:firstLineChars="200"/>
        <w:jc w:val="both"/>
        <w:rPr>
          <w:rFonts w:hint="eastAsia"/>
          <w:color w:val="auto"/>
          <w:spacing w:val="1"/>
          <w:highlight w:val="none"/>
          <w:lang w:eastAsia="zh-CN"/>
        </w:rPr>
      </w:pPr>
      <w:r>
        <w:rPr>
          <w:rFonts w:hint="eastAsia"/>
          <w:color w:val="auto"/>
          <w:spacing w:val="1"/>
          <w:highlight w:val="none"/>
          <w:lang w:eastAsia="zh-CN"/>
        </w:rPr>
        <w:t>1、投标人按照本部分的顺序编制投标文件，编制中涉及格式资料的，应按照本部分提供的内容和格式（所有表格的格式可扩展）填写提交。</w:t>
      </w:r>
    </w:p>
    <w:p>
      <w:pPr>
        <w:pStyle w:val="8"/>
        <w:snapToGrid w:val="0"/>
        <w:spacing w:before="0" w:line="360" w:lineRule="auto"/>
        <w:ind w:left="0" w:right="213" w:firstLine="484" w:firstLineChars="200"/>
        <w:jc w:val="both"/>
        <w:rPr>
          <w:rFonts w:hint="eastAsia"/>
          <w:color w:val="auto"/>
          <w:spacing w:val="1"/>
          <w:highlight w:val="none"/>
          <w:lang w:eastAsia="zh-CN"/>
        </w:rPr>
      </w:pPr>
      <w:r>
        <w:rPr>
          <w:rFonts w:hint="eastAsia"/>
          <w:color w:val="auto"/>
          <w:spacing w:val="1"/>
          <w:highlight w:val="none"/>
          <w:lang w:eastAsia="zh-CN"/>
        </w:rPr>
        <w:t>2、全部声明和所附材料必须是真实的、准确的和完整的。</w:t>
      </w:r>
    </w:p>
    <w:p>
      <w:pPr>
        <w:snapToGrid w:val="0"/>
        <w:spacing w:line="360" w:lineRule="auto"/>
        <w:rPr>
          <w:color w:val="auto"/>
          <w:highlight w:val="none"/>
          <w:lang w:eastAsia="zh-CN"/>
        </w:rPr>
        <w:sectPr>
          <w:headerReference r:id="rId4" w:type="default"/>
          <w:footerReference r:id="rId5" w:type="default"/>
          <w:pgSz w:w="11910" w:h="16840"/>
          <w:pgMar w:top="1247" w:right="1361" w:bottom="1247" w:left="1361" w:header="879" w:footer="868" w:gutter="0"/>
          <w:cols w:space="720" w:num="1"/>
        </w:sectPr>
      </w:pPr>
    </w:p>
    <w:p>
      <w:pPr>
        <w:spacing w:before="12"/>
        <w:rPr>
          <w:rFonts w:hint="eastAsia" w:ascii="宋体" w:hAnsi="宋体" w:eastAsia="宋体"/>
          <w:color w:val="auto"/>
          <w:highlight w:val="none"/>
          <w:lang w:eastAsia="zh-CN"/>
        </w:rPr>
      </w:pPr>
    </w:p>
    <w:p>
      <w:pPr>
        <w:spacing w:line="900" w:lineRule="exact"/>
        <w:jc w:val="center"/>
        <w:outlineLvl w:val="1"/>
        <w:rPr>
          <w:rFonts w:hint="eastAsia" w:ascii="宋体" w:hAnsi="宋体" w:eastAsia="宋体" w:cs="@仿宋_GB2312"/>
          <w:b/>
          <w:color w:val="auto"/>
          <w:kern w:val="2"/>
          <w:sz w:val="72"/>
          <w:szCs w:val="20"/>
          <w:highlight w:val="none"/>
          <w:lang w:eastAsia="zh-CN"/>
        </w:rPr>
      </w:pPr>
      <w:bookmarkStart w:id="22" w:name="_Toc651"/>
      <w:bookmarkStart w:id="23" w:name="_Toc60582630"/>
    </w:p>
    <w:p>
      <w:pPr>
        <w:spacing w:line="900" w:lineRule="exact"/>
        <w:jc w:val="center"/>
        <w:outlineLvl w:val="1"/>
        <w:rPr>
          <w:rFonts w:hint="eastAsia" w:ascii="宋体" w:hAnsi="宋体" w:eastAsia="宋体" w:cs="@仿宋_GB2312"/>
          <w:b/>
          <w:color w:val="auto"/>
          <w:kern w:val="2"/>
          <w:sz w:val="72"/>
          <w:szCs w:val="20"/>
          <w:highlight w:val="none"/>
          <w:lang w:eastAsia="zh-CN"/>
        </w:rPr>
      </w:pPr>
    </w:p>
    <w:p>
      <w:pPr>
        <w:spacing w:line="900" w:lineRule="exact"/>
        <w:jc w:val="center"/>
        <w:outlineLvl w:val="1"/>
        <w:rPr>
          <w:rFonts w:hint="eastAsia" w:ascii="宋体" w:hAnsi="宋体" w:eastAsia="宋体" w:cs="@仿宋_GB2312"/>
          <w:b/>
          <w:color w:val="auto"/>
          <w:kern w:val="2"/>
          <w:sz w:val="72"/>
          <w:szCs w:val="20"/>
          <w:highlight w:val="none"/>
          <w:lang w:eastAsia="zh-CN"/>
        </w:rPr>
      </w:pPr>
      <w:r>
        <w:rPr>
          <w:rFonts w:hint="eastAsia" w:ascii="宋体" w:hAnsi="宋体" w:eastAsia="宋体" w:cs="@仿宋_GB2312"/>
          <w:b/>
          <w:color w:val="auto"/>
          <w:kern w:val="2"/>
          <w:sz w:val="72"/>
          <w:szCs w:val="20"/>
          <w:highlight w:val="none"/>
          <w:lang w:eastAsia="zh-CN"/>
        </w:rPr>
        <w:t>投</w:t>
      </w:r>
      <w:bookmarkEnd w:id="22"/>
    </w:p>
    <w:p>
      <w:pPr>
        <w:spacing w:line="900" w:lineRule="exact"/>
        <w:jc w:val="center"/>
        <w:rPr>
          <w:rFonts w:hint="eastAsia" w:ascii="宋体" w:hAnsi="宋体" w:eastAsia="宋体" w:cs="@仿宋_GB2312"/>
          <w:b/>
          <w:color w:val="auto"/>
          <w:kern w:val="2"/>
          <w:sz w:val="72"/>
          <w:szCs w:val="20"/>
          <w:highlight w:val="none"/>
          <w:lang w:eastAsia="zh-CN"/>
        </w:rPr>
      </w:pPr>
    </w:p>
    <w:p>
      <w:pPr>
        <w:spacing w:line="900" w:lineRule="exact"/>
        <w:jc w:val="center"/>
        <w:outlineLvl w:val="1"/>
        <w:rPr>
          <w:rFonts w:hint="eastAsia" w:ascii="宋体" w:hAnsi="宋体" w:eastAsia="宋体" w:cs="@仿宋_GB2312"/>
          <w:b/>
          <w:color w:val="auto"/>
          <w:kern w:val="2"/>
          <w:sz w:val="72"/>
          <w:szCs w:val="20"/>
          <w:highlight w:val="none"/>
          <w:lang w:eastAsia="zh-CN"/>
        </w:rPr>
      </w:pPr>
      <w:bookmarkStart w:id="24" w:name="_Toc6148"/>
      <w:r>
        <w:rPr>
          <w:rFonts w:hint="eastAsia" w:ascii="宋体" w:hAnsi="宋体" w:eastAsia="宋体" w:cs="@仿宋_GB2312"/>
          <w:b/>
          <w:color w:val="auto"/>
          <w:kern w:val="2"/>
          <w:sz w:val="72"/>
          <w:szCs w:val="20"/>
          <w:highlight w:val="none"/>
          <w:lang w:eastAsia="zh-CN"/>
        </w:rPr>
        <w:t>标</w:t>
      </w:r>
      <w:bookmarkEnd w:id="24"/>
    </w:p>
    <w:p>
      <w:pPr>
        <w:spacing w:line="900" w:lineRule="exact"/>
        <w:jc w:val="center"/>
        <w:rPr>
          <w:rFonts w:hint="eastAsia" w:ascii="宋体" w:hAnsi="宋体" w:eastAsia="宋体" w:cs="@仿宋_GB2312"/>
          <w:b/>
          <w:color w:val="auto"/>
          <w:kern w:val="2"/>
          <w:sz w:val="72"/>
          <w:szCs w:val="20"/>
          <w:highlight w:val="none"/>
          <w:lang w:eastAsia="zh-CN"/>
        </w:rPr>
      </w:pPr>
    </w:p>
    <w:p>
      <w:pPr>
        <w:spacing w:line="900" w:lineRule="exact"/>
        <w:jc w:val="center"/>
        <w:outlineLvl w:val="1"/>
        <w:rPr>
          <w:rFonts w:hint="eastAsia" w:ascii="宋体" w:hAnsi="宋体" w:eastAsia="宋体" w:cs="@仿宋_GB2312"/>
          <w:b/>
          <w:color w:val="auto"/>
          <w:kern w:val="2"/>
          <w:sz w:val="72"/>
          <w:szCs w:val="20"/>
          <w:highlight w:val="none"/>
          <w:lang w:eastAsia="zh-CN"/>
        </w:rPr>
      </w:pPr>
      <w:bookmarkStart w:id="25" w:name="_Toc1338"/>
      <w:r>
        <w:rPr>
          <w:rFonts w:hint="eastAsia" w:ascii="宋体" w:hAnsi="宋体" w:eastAsia="宋体" w:cs="@仿宋_GB2312"/>
          <w:b/>
          <w:color w:val="auto"/>
          <w:kern w:val="2"/>
          <w:sz w:val="72"/>
          <w:szCs w:val="20"/>
          <w:highlight w:val="none"/>
          <w:lang w:eastAsia="zh-CN"/>
        </w:rPr>
        <w:t>文</w:t>
      </w:r>
      <w:bookmarkEnd w:id="25"/>
    </w:p>
    <w:p>
      <w:pPr>
        <w:spacing w:line="900" w:lineRule="exact"/>
        <w:jc w:val="center"/>
        <w:rPr>
          <w:rFonts w:hint="eastAsia" w:ascii="宋体" w:hAnsi="宋体" w:eastAsia="宋体" w:cs="@仿宋_GB2312"/>
          <w:b/>
          <w:color w:val="auto"/>
          <w:kern w:val="2"/>
          <w:sz w:val="72"/>
          <w:szCs w:val="20"/>
          <w:highlight w:val="none"/>
          <w:lang w:eastAsia="zh-CN"/>
        </w:rPr>
      </w:pPr>
    </w:p>
    <w:p>
      <w:pPr>
        <w:jc w:val="center"/>
        <w:outlineLvl w:val="1"/>
        <w:rPr>
          <w:rFonts w:hint="eastAsia" w:ascii="宋体" w:hAnsi="宋体" w:eastAsia="宋体" w:cs="@仿宋_GB2312"/>
          <w:b/>
          <w:color w:val="auto"/>
          <w:kern w:val="2"/>
          <w:sz w:val="72"/>
          <w:szCs w:val="20"/>
          <w:highlight w:val="none"/>
          <w:lang w:eastAsia="zh-CN"/>
        </w:rPr>
      </w:pPr>
      <w:bookmarkStart w:id="26" w:name="_Toc10796"/>
      <w:r>
        <w:rPr>
          <w:rFonts w:hint="eastAsia" w:ascii="宋体" w:hAnsi="宋体" w:eastAsia="宋体" w:cs="@仿宋_GB2312"/>
          <w:b/>
          <w:color w:val="auto"/>
          <w:kern w:val="2"/>
          <w:sz w:val="72"/>
          <w:szCs w:val="20"/>
          <w:highlight w:val="none"/>
          <w:lang w:eastAsia="zh-CN"/>
        </w:rPr>
        <w:t>件</w:t>
      </w:r>
      <w:bookmarkEnd w:id="26"/>
    </w:p>
    <w:p>
      <w:pPr>
        <w:spacing w:after="120" w:afterLines="50"/>
        <w:jc w:val="center"/>
        <w:rPr>
          <w:rFonts w:hint="eastAsia" w:ascii="宋体" w:hAnsi="宋体" w:eastAsia="宋体" w:cs="@仿宋_GB2312"/>
          <w:b/>
          <w:color w:val="auto"/>
          <w:kern w:val="2"/>
          <w:sz w:val="72"/>
          <w:szCs w:val="20"/>
          <w:highlight w:val="none"/>
          <w:lang w:eastAsia="zh-CN"/>
        </w:rPr>
      </w:pPr>
    </w:p>
    <w:p>
      <w:pPr>
        <w:spacing w:before="120" w:beforeLines="50" w:after="120" w:afterLines="50"/>
        <w:jc w:val="center"/>
        <w:rPr>
          <w:rFonts w:hint="eastAsia" w:ascii="宋体" w:hAnsi="宋体" w:eastAsia="宋体" w:cs="@仿宋_GB2312"/>
          <w:b/>
          <w:color w:val="auto"/>
          <w:kern w:val="2"/>
          <w:sz w:val="32"/>
          <w:szCs w:val="32"/>
          <w:highlight w:val="none"/>
          <w:lang w:eastAsia="zh-CN"/>
        </w:rPr>
      </w:pPr>
    </w:p>
    <w:p>
      <w:pPr>
        <w:spacing w:after="120" w:afterLines="50" w:line="500" w:lineRule="exact"/>
        <w:jc w:val="center"/>
        <w:rPr>
          <w:rFonts w:hint="eastAsia" w:ascii="宋体" w:hAnsi="宋体" w:eastAsia="宋体" w:cs="@仿宋_GB2312"/>
          <w:b/>
          <w:color w:val="auto"/>
          <w:kern w:val="2"/>
          <w:sz w:val="28"/>
          <w:szCs w:val="28"/>
          <w:highlight w:val="none"/>
          <w:lang w:eastAsia="zh-CN"/>
        </w:rPr>
      </w:pPr>
    </w:p>
    <w:p>
      <w:pPr>
        <w:tabs>
          <w:tab w:val="left" w:pos="2410"/>
        </w:tabs>
        <w:autoSpaceDE w:val="0"/>
        <w:autoSpaceDN w:val="0"/>
        <w:adjustRightInd w:val="0"/>
        <w:snapToGrid w:val="0"/>
        <w:spacing w:line="360" w:lineRule="auto"/>
        <w:ind w:firstLine="643" w:firstLineChars="200"/>
        <w:jc w:val="both"/>
        <w:rPr>
          <w:rFonts w:hint="eastAsia" w:ascii="宋体" w:hAnsi="宋体" w:eastAsia="宋体" w:cs="@仿宋_GB2312"/>
          <w:b/>
          <w:color w:val="auto"/>
          <w:spacing w:val="20"/>
          <w:sz w:val="32"/>
          <w:szCs w:val="32"/>
          <w:highlight w:val="none"/>
          <w:lang w:eastAsia="zh-CN"/>
        </w:rPr>
      </w:pPr>
      <w:r>
        <w:rPr>
          <w:rFonts w:hint="eastAsia" w:ascii="宋体" w:hAnsi="宋体" w:eastAsia="宋体" w:cs="@仿宋_GB2312"/>
          <w:b/>
          <w:color w:val="auto"/>
          <w:kern w:val="2"/>
          <w:sz w:val="32"/>
          <w:szCs w:val="20"/>
          <w:highlight w:val="none"/>
          <w:lang w:eastAsia="zh-CN"/>
        </w:rPr>
        <w:t>项目名称：</w:t>
      </w:r>
      <w:r>
        <w:rPr>
          <w:rFonts w:hint="eastAsia" w:ascii="宋体" w:hAnsi="宋体" w:eastAsia="宋体" w:cs="@仿宋_GB2312"/>
          <w:b/>
          <w:color w:val="auto"/>
          <w:kern w:val="2"/>
          <w:sz w:val="32"/>
          <w:szCs w:val="20"/>
          <w:highlight w:val="none"/>
          <w:u w:val="single"/>
          <w:lang w:eastAsia="zh-CN"/>
        </w:rPr>
        <w:t xml:space="preserve">          </w:t>
      </w:r>
      <w:r>
        <w:rPr>
          <w:rFonts w:hint="eastAsia" w:ascii="宋体" w:hAnsi="宋体" w:eastAsia="宋体" w:cs="@仿宋_GB2312"/>
          <w:b/>
          <w:color w:val="auto"/>
          <w:kern w:val="2"/>
          <w:sz w:val="32"/>
          <w:szCs w:val="20"/>
          <w:highlight w:val="none"/>
          <w:u w:val="single"/>
          <w:lang w:val="en-US" w:eastAsia="zh-CN"/>
        </w:rPr>
        <w:t xml:space="preserve">                </w:t>
      </w:r>
      <w:r>
        <w:rPr>
          <w:rFonts w:hint="eastAsia" w:ascii="宋体" w:hAnsi="宋体" w:eastAsia="宋体" w:cs="@仿宋_GB2312"/>
          <w:b/>
          <w:color w:val="auto"/>
          <w:kern w:val="2"/>
          <w:sz w:val="32"/>
          <w:szCs w:val="20"/>
          <w:highlight w:val="none"/>
          <w:u w:val="single"/>
          <w:lang w:eastAsia="zh-CN"/>
        </w:rPr>
        <w:t xml:space="preserve">        </w:t>
      </w:r>
    </w:p>
    <w:p>
      <w:pPr>
        <w:tabs>
          <w:tab w:val="left" w:pos="2410"/>
        </w:tabs>
        <w:autoSpaceDE w:val="0"/>
        <w:autoSpaceDN w:val="0"/>
        <w:adjustRightInd w:val="0"/>
        <w:snapToGrid w:val="0"/>
        <w:spacing w:line="360" w:lineRule="auto"/>
        <w:ind w:firstLine="643" w:firstLineChars="200"/>
        <w:jc w:val="both"/>
        <w:rPr>
          <w:rFonts w:hint="eastAsia" w:ascii="宋体" w:hAnsi="宋体" w:eastAsia="宋体" w:cs="@仿宋_GB2312"/>
          <w:b/>
          <w:color w:val="auto"/>
          <w:kern w:val="2"/>
          <w:sz w:val="32"/>
          <w:szCs w:val="20"/>
          <w:highlight w:val="none"/>
          <w:u w:val="single"/>
          <w:lang w:eastAsia="zh-CN"/>
        </w:rPr>
      </w:pPr>
      <w:r>
        <w:rPr>
          <w:rFonts w:hint="eastAsia" w:ascii="宋体" w:hAnsi="宋体" w:eastAsia="宋体" w:cs="@仿宋_GB2312"/>
          <w:b/>
          <w:color w:val="auto"/>
          <w:kern w:val="2"/>
          <w:sz w:val="32"/>
          <w:szCs w:val="20"/>
          <w:highlight w:val="none"/>
          <w:lang w:eastAsia="zh-CN"/>
        </w:rPr>
        <w:t>项目编号：</w:t>
      </w:r>
      <w:r>
        <w:rPr>
          <w:rFonts w:hint="eastAsia" w:ascii="宋体" w:hAnsi="宋体" w:eastAsia="宋体" w:cs="@仿宋_GB2312"/>
          <w:b/>
          <w:color w:val="auto"/>
          <w:kern w:val="2"/>
          <w:sz w:val="32"/>
          <w:szCs w:val="20"/>
          <w:highlight w:val="none"/>
          <w:u w:val="single"/>
          <w:lang w:eastAsia="zh-CN"/>
        </w:rPr>
        <w:t xml:space="preserve">         </w:t>
      </w:r>
      <w:r>
        <w:rPr>
          <w:rFonts w:hint="eastAsia" w:ascii="宋体" w:hAnsi="宋体" w:eastAsia="宋体" w:cs="@仿宋_GB2312"/>
          <w:b/>
          <w:color w:val="auto"/>
          <w:kern w:val="2"/>
          <w:sz w:val="32"/>
          <w:szCs w:val="20"/>
          <w:highlight w:val="none"/>
          <w:u w:val="single"/>
          <w:lang w:val="en-US" w:eastAsia="zh-CN"/>
        </w:rPr>
        <w:t xml:space="preserve">                </w:t>
      </w:r>
      <w:r>
        <w:rPr>
          <w:rFonts w:hint="eastAsia" w:ascii="宋体" w:hAnsi="宋体" w:eastAsia="宋体" w:cs="@仿宋_GB2312"/>
          <w:b/>
          <w:color w:val="auto"/>
          <w:kern w:val="2"/>
          <w:sz w:val="32"/>
          <w:szCs w:val="20"/>
          <w:highlight w:val="none"/>
          <w:u w:val="single"/>
          <w:lang w:eastAsia="zh-CN"/>
        </w:rPr>
        <w:t xml:space="preserve">         </w:t>
      </w:r>
    </w:p>
    <w:p>
      <w:pPr>
        <w:tabs>
          <w:tab w:val="left" w:pos="2410"/>
        </w:tabs>
        <w:autoSpaceDE w:val="0"/>
        <w:autoSpaceDN w:val="0"/>
        <w:adjustRightInd w:val="0"/>
        <w:snapToGrid w:val="0"/>
        <w:spacing w:line="360" w:lineRule="auto"/>
        <w:ind w:firstLine="643" w:firstLineChars="200"/>
        <w:jc w:val="both"/>
        <w:rPr>
          <w:rFonts w:hint="eastAsia" w:ascii="宋体" w:hAnsi="宋体" w:eastAsia="宋体" w:cs="@仿宋_GB2312"/>
          <w:b/>
          <w:color w:val="auto"/>
          <w:kern w:val="2"/>
          <w:sz w:val="32"/>
          <w:szCs w:val="20"/>
          <w:highlight w:val="none"/>
          <w:u w:val="single"/>
          <w:lang w:eastAsia="zh-CN"/>
        </w:rPr>
      </w:pPr>
      <w:r>
        <w:rPr>
          <w:rFonts w:hint="eastAsia" w:ascii="宋体" w:hAnsi="宋体" w:eastAsia="宋体" w:cs="@仿宋_GB2312"/>
          <w:b/>
          <w:color w:val="auto"/>
          <w:kern w:val="2"/>
          <w:sz w:val="32"/>
          <w:szCs w:val="20"/>
          <w:highlight w:val="none"/>
          <w:lang w:eastAsia="zh-CN"/>
        </w:rPr>
        <w:t>投 标 人：</w:t>
      </w:r>
      <w:r>
        <w:rPr>
          <w:rFonts w:hint="eastAsia" w:ascii="宋体" w:hAnsi="宋体" w:eastAsia="宋体" w:cs="@仿宋_GB2312"/>
          <w:b/>
          <w:color w:val="auto"/>
          <w:kern w:val="2"/>
          <w:sz w:val="32"/>
          <w:szCs w:val="20"/>
          <w:highlight w:val="none"/>
          <w:u w:val="single"/>
          <w:lang w:eastAsia="zh-CN"/>
        </w:rPr>
        <w:t xml:space="preserve">          </w:t>
      </w:r>
      <w:r>
        <w:rPr>
          <w:rFonts w:hint="eastAsia" w:ascii="宋体" w:hAnsi="宋体" w:eastAsia="宋体" w:cs="@仿宋_GB2312"/>
          <w:b/>
          <w:color w:val="auto"/>
          <w:kern w:val="2"/>
          <w:sz w:val="32"/>
          <w:szCs w:val="20"/>
          <w:highlight w:val="none"/>
          <w:u w:val="single"/>
          <w:lang w:val="en-US" w:eastAsia="zh-CN"/>
        </w:rPr>
        <w:t xml:space="preserve">                </w:t>
      </w:r>
      <w:r>
        <w:rPr>
          <w:rFonts w:hint="eastAsia" w:ascii="宋体" w:hAnsi="宋体" w:eastAsia="宋体" w:cs="@仿宋_GB2312"/>
          <w:b/>
          <w:color w:val="auto"/>
          <w:kern w:val="2"/>
          <w:sz w:val="32"/>
          <w:szCs w:val="20"/>
          <w:highlight w:val="none"/>
          <w:u w:val="single"/>
          <w:lang w:eastAsia="zh-CN"/>
        </w:rPr>
        <w:t xml:space="preserve">        </w:t>
      </w:r>
    </w:p>
    <w:p>
      <w:pPr>
        <w:spacing w:after="120" w:afterLines="50" w:line="500" w:lineRule="exact"/>
        <w:jc w:val="center"/>
        <w:outlineLvl w:val="1"/>
        <w:rPr>
          <w:rFonts w:hint="eastAsia" w:ascii="宋体" w:hAnsi="宋体" w:eastAsia="宋体" w:cs="@仿宋_GB2312"/>
          <w:b/>
          <w:color w:val="auto"/>
          <w:kern w:val="2"/>
          <w:sz w:val="32"/>
          <w:szCs w:val="20"/>
          <w:highlight w:val="none"/>
          <w:lang w:eastAsia="zh-CN"/>
        </w:rPr>
      </w:pPr>
      <w:r>
        <w:rPr>
          <w:rFonts w:hint="eastAsia" w:ascii="宋体" w:hAnsi="宋体" w:eastAsia="宋体" w:cs="@仿宋_GB2312"/>
          <w:b/>
          <w:color w:val="auto"/>
          <w:kern w:val="2"/>
          <w:sz w:val="32"/>
          <w:szCs w:val="20"/>
          <w:highlight w:val="none"/>
          <w:u w:val="single"/>
          <w:lang w:eastAsia="zh-CN"/>
        </w:rPr>
        <w:t xml:space="preserve"> </w:t>
      </w:r>
      <w:r>
        <w:rPr>
          <w:rFonts w:hint="eastAsia" w:ascii="宋体" w:hAnsi="宋体" w:eastAsia="宋体" w:cs="@仿宋_GB2312"/>
          <w:b/>
          <w:color w:val="auto"/>
          <w:kern w:val="2"/>
          <w:sz w:val="32"/>
          <w:szCs w:val="20"/>
          <w:highlight w:val="none"/>
          <w:u w:val="single"/>
          <w:lang w:val="en-US" w:eastAsia="zh-CN"/>
        </w:rPr>
        <w:t xml:space="preserve">   </w:t>
      </w:r>
      <w:r>
        <w:rPr>
          <w:rFonts w:hint="eastAsia" w:ascii="宋体" w:hAnsi="宋体" w:eastAsia="宋体" w:cs="@仿宋_GB2312"/>
          <w:b/>
          <w:color w:val="auto"/>
          <w:kern w:val="2"/>
          <w:sz w:val="32"/>
          <w:szCs w:val="20"/>
          <w:highlight w:val="none"/>
          <w:u w:val="single"/>
          <w:lang w:eastAsia="zh-CN"/>
        </w:rPr>
        <w:t xml:space="preserve"> </w:t>
      </w:r>
      <w:bookmarkStart w:id="27" w:name="_Toc8037"/>
      <w:bookmarkStart w:id="28" w:name="_Toc9994"/>
      <w:r>
        <w:rPr>
          <w:rFonts w:hint="eastAsia" w:ascii="宋体" w:hAnsi="宋体" w:eastAsia="宋体" w:cs="@仿宋_GB2312"/>
          <w:b/>
          <w:color w:val="auto"/>
          <w:kern w:val="2"/>
          <w:sz w:val="32"/>
          <w:szCs w:val="20"/>
          <w:highlight w:val="none"/>
          <w:lang w:eastAsia="zh-CN"/>
        </w:rPr>
        <w:t>年</w:t>
      </w:r>
      <w:r>
        <w:rPr>
          <w:rFonts w:hint="eastAsia" w:ascii="宋体" w:hAnsi="宋体" w:eastAsia="宋体" w:cs="@仿宋_GB2312"/>
          <w:b/>
          <w:color w:val="auto"/>
          <w:kern w:val="2"/>
          <w:sz w:val="32"/>
          <w:szCs w:val="20"/>
          <w:highlight w:val="none"/>
          <w:u w:val="single"/>
          <w:lang w:eastAsia="zh-CN"/>
        </w:rPr>
        <w:t xml:space="preserve"> </w:t>
      </w:r>
      <w:r>
        <w:rPr>
          <w:rFonts w:hint="eastAsia" w:ascii="宋体" w:hAnsi="宋体" w:eastAsia="宋体" w:cs="@仿宋_GB2312"/>
          <w:b/>
          <w:color w:val="auto"/>
          <w:kern w:val="2"/>
          <w:sz w:val="32"/>
          <w:szCs w:val="20"/>
          <w:highlight w:val="none"/>
          <w:u w:val="single"/>
          <w:lang w:val="en-US" w:eastAsia="zh-CN"/>
        </w:rPr>
        <w:t xml:space="preserve">  </w:t>
      </w:r>
      <w:r>
        <w:rPr>
          <w:rFonts w:hint="eastAsia" w:ascii="宋体" w:hAnsi="宋体" w:eastAsia="宋体" w:cs="@仿宋_GB2312"/>
          <w:b/>
          <w:color w:val="auto"/>
          <w:kern w:val="2"/>
          <w:sz w:val="32"/>
          <w:szCs w:val="20"/>
          <w:highlight w:val="none"/>
          <w:u w:val="single"/>
          <w:lang w:eastAsia="zh-CN"/>
        </w:rPr>
        <w:t xml:space="preserve"> </w:t>
      </w:r>
      <w:r>
        <w:rPr>
          <w:rFonts w:hint="eastAsia" w:ascii="宋体" w:hAnsi="宋体" w:eastAsia="宋体" w:cs="@仿宋_GB2312"/>
          <w:b/>
          <w:color w:val="auto"/>
          <w:kern w:val="2"/>
          <w:sz w:val="32"/>
          <w:szCs w:val="20"/>
          <w:highlight w:val="none"/>
          <w:lang w:eastAsia="zh-CN"/>
        </w:rPr>
        <w:t>月</w:t>
      </w:r>
      <w:r>
        <w:rPr>
          <w:rFonts w:hint="eastAsia" w:ascii="宋体" w:hAnsi="宋体" w:eastAsia="宋体" w:cs="@仿宋_GB2312"/>
          <w:b/>
          <w:color w:val="auto"/>
          <w:kern w:val="2"/>
          <w:sz w:val="32"/>
          <w:szCs w:val="20"/>
          <w:highlight w:val="none"/>
          <w:u w:val="single"/>
          <w:lang w:eastAsia="zh-CN"/>
        </w:rPr>
        <w:t xml:space="preserve"> </w:t>
      </w:r>
      <w:r>
        <w:rPr>
          <w:rFonts w:hint="eastAsia" w:ascii="宋体" w:hAnsi="宋体" w:eastAsia="宋体" w:cs="@仿宋_GB2312"/>
          <w:b/>
          <w:color w:val="auto"/>
          <w:kern w:val="2"/>
          <w:sz w:val="32"/>
          <w:szCs w:val="20"/>
          <w:highlight w:val="none"/>
          <w:u w:val="single"/>
          <w:lang w:val="en-US" w:eastAsia="zh-CN"/>
        </w:rPr>
        <w:t xml:space="preserve">  </w:t>
      </w:r>
      <w:r>
        <w:rPr>
          <w:rFonts w:hint="eastAsia" w:ascii="宋体" w:hAnsi="宋体" w:eastAsia="宋体" w:cs="@仿宋_GB2312"/>
          <w:b/>
          <w:color w:val="auto"/>
          <w:kern w:val="2"/>
          <w:sz w:val="32"/>
          <w:szCs w:val="20"/>
          <w:highlight w:val="none"/>
          <w:u w:val="single"/>
          <w:lang w:eastAsia="zh-CN"/>
        </w:rPr>
        <w:t xml:space="preserve"> </w:t>
      </w:r>
      <w:r>
        <w:rPr>
          <w:rFonts w:hint="eastAsia" w:ascii="宋体" w:hAnsi="宋体" w:eastAsia="宋体" w:cs="@仿宋_GB2312"/>
          <w:b/>
          <w:color w:val="auto"/>
          <w:kern w:val="2"/>
          <w:sz w:val="32"/>
          <w:szCs w:val="20"/>
          <w:highlight w:val="none"/>
          <w:lang w:eastAsia="zh-CN"/>
        </w:rPr>
        <w:t>日</w:t>
      </w:r>
      <w:bookmarkEnd w:id="27"/>
      <w:bookmarkEnd w:id="28"/>
    </w:p>
    <w:p>
      <w:pPr>
        <w:widowControl/>
        <w:rPr>
          <w:rFonts w:hint="eastAsia" w:ascii="宋体" w:hAnsi="宋体" w:eastAsia="宋体" w:cs="@仿宋_GB2312"/>
          <w:b/>
          <w:color w:val="auto"/>
          <w:kern w:val="2"/>
          <w:sz w:val="28"/>
          <w:szCs w:val="20"/>
          <w:highlight w:val="none"/>
          <w:lang w:eastAsia="zh-CN"/>
        </w:rPr>
      </w:pPr>
      <w:r>
        <w:rPr>
          <w:rFonts w:ascii="宋体" w:hAnsi="宋体" w:eastAsia="宋体" w:cs="@仿宋_GB2312"/>
          <w:b/>
          <w:color w:val="auto"/>
          <w:kern w:val="2"/>
          <w:sz w:val="28"/>
          <w:szCs w:val="20"/>
          <w:highlight w:val="none"/>
          <w:lang w:eastAsia="zh-CN"/>
        </w:rPr>
        <w:br w:type="page"/>
      </w:r>
    </w:p>
    <w:p>
      <w:pPr>
        <w:pStyle w:val="60"/>
        <w:snapToGrid w:val="0"/>
        <w:spacing w:line="360" w:lineRule="auto"/>
        <w:ind w:firstLine="0" w:firstLineChars="0"/>
        <w:jc w:val="center"/>
        <w:rPr>
          <w:rFonts w:hint="eastAsia" w:ascii="宋体" w:hAnsi="宋体" w:eastAsia="宋体" w:cs="宋体"/>
          <w:color w:val="auto"/>
          <w:sz w:val="36"/>
          <w:szCs w:val="36"/>
          <w:highlight w:val="none"/>
          <w:lang w:eastAsia="zh-CN"/>
        </w:rPr>
      </w:pPr>
      <w:bookmarkStart w:id="29" w:name="_Toc18010"/>
      <w:bookmarkStart w:id="30" w:name="_Toc6441"/>
    </w:p>
    <w:p>
      <w:pPr>
        <w:pStyle w:val="60"/>
        <w:snapToGrid w:val="0"/>
        <w:spacing w:line="360" w:lineRule="auto"/>
        <w:ind w:firstLine="0" w:firstLineChars="0"/>
        <w:jc w:val="center"/>
        <w:rPr>
          <w:rFonts w:hint="eastAsia" w:ascii="宋体" w:hAnsi="宋体" w:eastAsia="宋体" w:cs="宋体"/>
          <w:color w:val="auto"/>
          <w:sz w:val="36"/>
          <w:szCs w:val="36"/>
          <w:highlight w:val="none"/>
          <w:lang w:eastAsia="zh-CN"/>
        </w:rPr>
      </w:pPr>
      <w:r>
        <w:rPr>
          <w:rFonts w:hint="eastAsia" w:ascii="宋体" w:hAnsi="宋体" w:eastAsia="宋体" w:cs="宋体"/>
          <w:color w:val="auto"/>
          <w:sz w:val="36"/>
          <w:szCs w:val="36"/>
          <w:highlight w:val="none"/>
          <w:lang w:eastAsia="zh-CN"/>
        </w:rPr>
        <w:t>目　　录</w:t>
      </w:r>
    </w:p>
    <w:p>
      <w:pPr>
        <w:pStyle w:val="60"/>
        <w:snapToGrid w:val="0"/>
        <w:spacing w:line="360" w:lineRule="auto"/>
        <w:ind w:firstLine="0" w:firstLineChars="0"/>
        <w:jc w:val="center"/>
        <w:rPr>
          <w:rFonts w:hint="eastAsia" w:ascii="宋体" w:hAnsi="宋体" w:eastAsia="宋体" w:cs="宋体"/>
          <w:color w:val="auto"/>
          <w:sz w:val="36"/>
          <w:szCs w:val="36"/>
          <w:highlight w:val="none"/>
          <w:lang w:eastAsia="zh-CN"/>
        </w:rPr>
      </w:pPr>
    </w:p>
    <w:p>
      <w:pPr>
        <w:pStyle w:val="8"/>
        <w:numPr>
          <w:ilvl w:val="0"/>
          <w:numId w:val="0"/>
        </w:numPr>
        <w:snapToGrid w:val="0"/>
        <w:spacing w:before="0" w:line="360" w:lineRule="auto"/>
        <w:ind w:left="121" w:leftChars="0" w:right="213" w:rightChars="0"/>
        <w:jc w:val="both"/>
        <w:rPr>
          <w:rFonts w:hint="eastAsia" w:ascii="宋体" w:hAnsi="宋体" w:eastAsia="宋体" w:cs="宋体"/>
          <w:color w:val="auto"/>
          <w:spacing w:val="1"/>
          <w:highlight w:val="none"/>
          <w:lang w:val="en-US" w:eastAsia="zh-CN"/>
        </w:rPr>
      </w:pPr>
      <w:r>
        <w:rPr>
          <w:rFonts w:hint="eastAsia" w:ascii="宋体" w:hAnsi="宋体" w:eastAsia="宋体" w:cs="宋体"/>
          <w:color w:val="auto"/>
          <w:spacing w:val="1"/>
          <w:highlight w:val="none"/>
          <w:lang w:val="en-US" w:eastAsia="zh-CN"/>
        </w:rPr>
        <w:t>1、铜陵市公共数据资源授权运营机构申请表</w:t>
      </w:r>
    </w:p>
    <w:p>
      <w:pPr>
        <w:pStyle w:val="8"/>
        <w:numPr>
          <w:ilvl w:val="0"/>
          <w:numId w:val="0"/>
        </w:numPr>
        <w:snapToGrid w:val="0"/>
        <w:spacing w:before="0" w:line="360" w:lineRule="auto"/>
        <w:ind w:left="121" w:leftChars="0" w:right="213" w:rightChars="0"/>
        <w:jc w:val="both"/>
        <w:rPr>
          <w:rFonts w:hint="eastAsia" w:ascii="宋体" w:hAnsi="宋体" w:eastAsia="宋体" w:cs="宋体"/>
          <w:color w:val="auto"/>
          <w:spacing w:val="1"/>
          <w:highlight w:val="none"/>
          <w:lang w:val="en-US" w:eastAsia="zh-CN"/>
        </w:rPr>
      </w:pPr>
      <w:r>
        <w:rPr>
          <w:rFonts w:hint="eastAsia" w:ascii="宋体" w:hAnsi="宋体" w:eastAsia="宋体" w:cs="宋体"/>
          <w:color w:val="auto"/>
          <w:spacing w:val="1"/>
          <w:highlight w:val="none"/>
          <w:lang w:val="en-US" w:eastAsia="zh-CN"/>
        </w:rPr>
        <w:t>2、统一社会信用代码证件</w:t>
      </w:r>
    </w:p>
    <w:p>
      <w:pPr>
        <w:pStyle w:val="8"/>
        <w:numPr>
          <w:ilvl w:val="0"/>
          <w:numId w:val="0"/>
        </w:numPr>
        <w:snapToGrid w:val="0"/>
        <w:spacing w:before="0" w:line="360" w:lineRule="auto"/>
        <w:ind w:left="121" w:leftChars="0" w:right="213" w:rightChars="0"/>
        <w:jc w:val="both"/>
        <w:rPr>
          <w:rFonts w:hint="eastAsia" w:ascii="宋体" w:hAnsi="宋体" w:eastAsia="宋体" w:cs="宋体"/>
          <w:color w:val="auto"/>
          <w:spacing w:val="1"/>
          <w:highlight w:val="none"/>
          <w:lang w:val="en-US" w:eastAsia="zh-CN"/>
        </w:rPr>
      </w:pPr>
      <w:r>
        <w:rPr>
          <w:rFonts w:hint="eastAsia" w:ascii="宋体" w:hAnsi="宋体" w:eastAsia="宋体" w:cs="宋体"/>
          <w:color w:val="auto"/>
          <w:spacing w:val="1"/>
          <w:highlight w:val="none"/>
          <w:lang w:val="en-US" w:eastAsia="zh-CN"/>
        </w:rPr>
        <w:t>3、法定代表人身份证明</w:t>
      </w:r>
    </w:p>
    <w:p>
      <w:pPr>
        <w:pStyle w:val="8"/>
        <w:numPr>
          <w:ilvl w:val="0"/>
          <w:numId w:val="0"/>
        </w:numPr>
        <w:snapToGrid w:val="0"/>
        <w:spacing w:before="0" w:line="360" w:lineRule="auto"/>
        <w:ind w:left="121" w:leftChars="0" w:right="213" w:rightChars="0"/>
        <w:jc w:val="both"/>
        <w:rPr>
          <w:rFonts w:hint="eastAsia" w:ascii="宋体" w:hAnsi="宋体" w:eastAsia="宋体" w:cs="宋体"/>
          <w:color w:val="auto"/>
          <w:spacing w:val="1"/>
          <w:highlight w:val="none"/>
          <w:lang w:val="en-US" w:eastAsia="zh-CN"/>
        </w:rPr>
      </w:pPr>
      <w:r>
        <w:rPr>
          <w:rFonts w:hint="eastAsia" w:ascii="宋体" w:hAnsi="宋体" w:eastAsia="宋体" w:cs="宋体"/>
          <w:color w:val="auto"/>
          <w:spacing w:val="1"/>
          <w:highlight w:val="none"/>
          <w:lang w:val="en-US" w:eastAsia="zh-CN"/>
        </w:rPr>
        <w:t>4、经办人授权委托书</w:t>
      </w:r>
    </w:p>
    <w:p>
      <w:pPr>
        <w:pStyle w:val="8"/>
        <w:numPr>
          <w:ilvl w:val="0"/>
          <w:numId w:val="0"/>
        </w:numPr>
        <w:snapToGrid w:val="0"/>
        <w:spacing w:before="0" w:line="360" w:lineRule="auto"/>
        <w:ind w:left="121" w:leftChars="0" w:right="213" w:rightChars="0"/>
        <w:jc w:val="both"/>
        <w:rPr>
          <w:rFonts w:hint="eastAsia" w:ascii="宋体" w:hAnsi="宋体" w:eastAsia="宋体" w:cs="宋体"/>
          <w:color w:val="auto"/>
          <w:spacing w:val="1"/>
          <w:highlight w:val="none"/>
          <w:lang w:val="en-US" w:eastAsia="zh-CN"/>
        </w:rPr>
      </w:pPr>
      <w:r>
        <w:rPr>
          <w:rFonts w:hint="eastAsia" w:ascii="宋体" w:hAnsi="宋体" w:eastAsia="宋体" w:cs="宋体"/>
          <w:color w:val="auto"/>
          <w:spacing w:val="1"/>
          <w:highlight w:val="none"/>
          <w:lang w:val="en-US" w:eastAsia="zh-CN"/>
        </w:rPr>
        <w:t>5、经办人身份证明</w:t>
      </w:r>
    </w:p>
    <w:p>
      <w:pPr>
        <w:pStyle w:val="8"/>
        <w:numPr>
          <w:ilvl w:val="0"/>
          <w:numId w:val="0"/>
        </w:numPr>
        <w:snapToGrid w:val="0"/>
        <w:spacing w:before="0" w:line="360" w:lineRule="auto"/>
        <w:ind w:left="121" w:leftChars="0" w:right="213" w:rightChars="0"/>
        <w:jc w:val="both"/>
        <w:rPr>
          <w:rFonts w:hint="eastAsia" w:ascii="宋体" w:hAnsi="宋体" w:eastAsia="宋体" w:cs="宋体"/>
          <w:color w:val="auto"/>
          <w:spacing w:val="1"/>
          <w:highlight w:val="none"/>
          <w:lang w:val="en-US" w:eastAsia="zh-CN"/>
        </w:rPr>
      </w:pPr>
      <w:r>
        <w:rPr>
          <w:rFonts w:hint="eastAsia" w:ascii="宋体" w:hAnsi="宋体" w:eastAsia="宋体" w:cs="宋体"/>
          <w:color w:val="auto"/>
          <w:spacing w:val="1"/>
          <w:highlight w:val="none"/>
          <w:lang w:val="en-US" w:eastAsia="zh-CN"/>
        </w:rPr>
        <w:t>6、数据安全和公共数据运营平台开发承诺书</w:t>
      </w:r>
    </w:p>
    <w:p>
      <w:pPr>
        <w:pStyle w:val="8"/>
        <w:numPr>
          <w:ilvl w:val="0"/>
          <w:numId w:val="0"/>
        </w:numPr>
        <w:snapToGrid w:val="0"/>
        <w:spacing w:before="0" w:line="360" w:lineRule="auto"/>
        <w:ind w:left="121" w:leftChars="0" w:right="213" w:rightChars="0"/>
        <w:jc w:val="both"/>
        <w:rPr>
          <w:rFonts w:hint="eastAsia" w:ascii="宋体" w:hAnsi="宋体" w:eastAsia="宋体" w:cs="宋体"/>
          <w:color w:val="auto"/>
          <w:spacing w:val="1"/>
          <w:highlight w:val="none"/>
          <w:lang w:val="en-US" w:eastAsia="zh-CN"/>
        </w:rPr>
      </w:pPr>
      <w:r>
        <w:rPr>
          <w:rFonts w:hint="eastAsia" w:ascii="宋体" w:hAnsi="宋体" w:eastAsia="宋体" w:cs="宋体"/>
          <w:color w:val="auto"/>
          <w:spacing w:val="1"/>
          <w:highlight w:val="none"/>
          <w:lang w:val="en-US" w:eastAsia="zh-CN"/>
        </w:rPr>
        <w:t>7、办公条件（含网络环境）承诺书</w:t>
      </w:r>
    </w:p>
    <w:p>
      <w:pPr>
        <w:pStyle w:val="8"/>
        <w:numPr>
          <w:ilvl w:val="0"/>
          <w:numId w:val="0"/>
        </w:numPr>
        <w:snapToGrid w:val="0"/>
        <w:spacing w:before="0" w:line="360" w:lineRule="auto"/>
        <w:ind w:left="121" w:leftChars="0" w:right="213" w:rightChars="0"/>
        <w:jc w:val="both"/>
        <w:rPr>
          <w:rFonts w:hint="eastAsia" w:ascii="宋体" w:hAnsi="宋体" w:eastAsia="宋体" w:cs="宋体"/>
          <w:color w:val="auto"/>
          <w:spacing w:val="1"/>
          <w:highlight w:val="none"/>
          <w:lang w:val="en-US" w:eastAsia="zh-Hans"/>
        </w:rPr>
      </w:pPr>
      <w:r>
        <w:rPr>
          <w:rFonts w:hint="eastAsia" w:ascii="宋体" w:hAnsi="宋体" w:eastAsia="宋体" w:cs="宋体"/>
          <w:color w:val="auto"/>
          <w:spacing w:val="1"/>
          <w:highlight w:val="none"/>
          <w:lang w:val="en-US" w:eastAsia="zh-CN"/>
        </w:rPr>
        <w:t>8、</w:t>
      </w:r>
      <w:r>
        <w:rPr>
          <w:rFonts w:hint="eastAsia" w:ascii="宋体" w:hAnsi="宋体" w:eastAsia="宋体" w:cs="宋体"/>
          <w:color w:val="auto"/>
          <w:spacing w:val="1"/>
          <w:highlight w:val="none"/>
          <w:lang w:val="en-US" w:eastAsia="zh-Hans"/>
        </w:rPr>
        <w:t>企业信用报告</w:t>
      </w:r>
    </w:p>
    <w:p>
      <w:pPr>
        <w:pStyle w:val="8"/>
        <w:numPr>
          <w:ilvl w:val="0"/>
          <w:numId w:val="0"/>
        </w:numPr>
        <w:snapToGrid w:val="0"/>
        <w:spacing w:before="0" w:line="360" w:lineRule="auto"/>
        <w:ind w:left="121" w:leftChars="0" w:right="213" w:rightChars="0"/>
        <w:jc w:val="both"/>
        <w:rPr>
          <w:rFonts w:hint="eastAsia" w:ascii="宋体" w:hAnsi="宋体" w:eastAsia="宋体" w:cs="宋体"/>
          <w:color w:val="auto"/>
          <w:spacing w:val="1"/>
          <w:highlight w:val="none"/>
          <w:lang w:val="en-US" w:eastAsia="zh-CN"/>
        </w:rPr>
      </w:pPr>
      <w:r>
        <w:rPr>
          <w:rFonts w:hint="eastAsia" w:ascii="宋体" w:hAnsi="宋体" w:eastAsia="宋体" w:cs="宋体"/>
          <w:color w:val="auto"/>
          <w:spacing w:val="1"/>
          <w:highlight w:val="none"/>
          <w:lang w:val="en-US" w:eastAsia="zh-CN"/>
        </w:rPr>
        <w:t>9、无重大违法记录承诺书</w:t>
      </w:r>
    </w:p>
    <w:p>
      <w:pPr>
        <w:pStyle w:val="8"/>
        <w:numPr>
          <w:ilvl w:val="0"/>
          <w:numId w:val="0"/>
        </w:numPr>
        <w:snapToGrid w:val="0"/>
        <w:spacing w:before="0" w:line="360" w:lineRule="auto"/>
        <w:ind w:left="121" w:leftChars="0" w:right="213" w:rightChars="0"/>
        <w:jc w:val="both"/>
        <w:rPr>
          <w:rFonts w:hint="eastAsia" w:ascii="宋体" w:hAnsi="宋体" w:eastAsia="宋体" w:cs="宋体"/>
          <w:color w:val="auto"/>
          <w:spacing w:val="1"/>
          <w:highlight w:val="none"/>
          <w:lang w:val="en-US" w:eastAsia="zh-CN"/>
        </w:rPr>
      </w:pPr>
      <w:r>
        <w:rPr>
          <w:rFonts w:hint="eastAsia" w:ascii="宋体" w:hAnsi="宋体" w:eastAsia="宋体" w:cs="宋体"/>
          <w:color w:val="auto"/>
          <w:spacing w:val="1"/>
          <w:highlight w:val="none"/>
          <w:lang w:val="en-US" w:eastAsia="zh-CN"/>
        </w:rPr>
        <w:t>10、一般纳税人证明</w:t>
      </w:r>
    </w:p>
    <w:p>
      <w:pPr>
        <w:pStyle w:val="8"/>
        <w:numPr>
          <w:ilvl w:val="0"/>
          <w:numId w:val="0"/>
        </w:numPr>
        <w:snapToGrid w:val="0"/>
        <w:spacing w:before="0" w:line="360" w:lineRule="auto"/>
        <w:ind w:left="121" w:leftChars="0" w:right="213" w:rightChars="0"/>
        <w:jc w:val="both"/>
        <w:rPr>
          <w:rFonts w:hint="eastAsia" w:ascii="宋体" w:hAnsi="宋体" w:eastAsia="宋体" w:cs="宋体"/>
          <w:color w:val="auto"/>
          <w:spacing w:val="1"/>
          <w:highlight w:val="none"/>
          <w:lang w:val="en-US" w:eastAsia="zh-CN"/>
        </w:rPr>
      </w:pPr>
      <w:r>
        <w:rPr>
          <w:rFonts w:hint="eastAsia" w:ascii="宋体" w:hAnsi="宋体" w:eastAsia="宋体" w:cs="宋体"/>
          <w:color w:val="auto"/>
          <w:spacing w:val="1"/>
          <w:highlight w:val="none"/>
          <w:lang w:val="en-US" w:eastAsia="zh-CN"/>
        </w:rPr>
        <w:t>11、近一年第三方审计报告</w:t>
      </w:r>
    </w:p>
    <w:p>
      <w:pPr>
        <w:pStyle w:val="8"/>
        <w:numPr>
          <w:ilvl w:val="0"/>
          <w:numId w:val="0"/>
        </w:numPr>
        <w:snapToGrid w:val="0"/>
        <w:spacing w:before="0" w:line="360" w:lineRule="auto"/>
        <w:ind w:left="121" w:leftChars="0" w:right="213" w:rightChars="0"/>
        <w:jc w:val="both"/>
        <w:rPr>
          <w:rFonts w:hint="eastAsia" w:ascii="宋体" w:hAnsi="宋体" w:eastAsia="宋体" w:cs="宋体"/>
          <w:color w:val="auto"/>
          <w:spacing w:val="1"/>
          <w:highlight w:val="none"/>
          <w:lang w:val="en-US" w:eastAsia="zh-CN"/>
        </w:rPr>
      </w:pPr>
      <w:r>
        <w:rPr>
          <w:rFonts w:hint="eastAsia" w:ascii="宋体" w:hAnsi="宋体" w:eastAsia="宋体" w:cs="宋体"/>
          <w:color w:val="auto"/>
          <w:spacing w:val="1"/>
          <w:highlight w:val="none"/>
          <w:lang w:val="en-US" w:eastAsia="zh-CN"/>
        </w:rPr>
        <w:t>12、近一年第三方财务会计报告</w:t>
      </w:r>
    </w:p>
    <w:p>
      <w:pPr>
        <w:pStyle w:val="8"/>
        <w:numPr>
          <w:ilvl w:val="0"/>
          <w:numId w:val="0"/>
        </w:numPr>
        <w:snapToGrid w:val="0"/>
        <w:spacing w:before="0" w:line="360" w:lineRule="auto"/>
        <w:ind w:left="121" w:leftChars="0" w:right="213" w:rightChars="0"/>
        <w:jc w:val="both"/>
        <w:rPr>
          <w:rFonts w:hint="eastAsia" w:ascii="宋体" w:hAnsi="宋体" w:eastAsia="宋体" w:cs="宋体"/>
          <w:color w:val="auto"/>
          <w:spacing w:val="1"/>
          <w:highlight w:val="none"/>
          <w:lang w:val="en-US" w:eastAsia="zh-CN"/>
        </w:rPr>
      </w:pPr>
      <w:r>
        <w:rPr>
          <w:rFonts w:hint="eastAsia" w:ascii="宋体" w:hAnsi="宋体" w:eastAsia="宋体" w:cs="宋体"/>
          <w:color w:val="auto"/>
          <w:spacing w:val="1"/>
          <w:highlight w:val="none"/>
          <w:lang w:val="en-US" w:eastAsia="zh-CN"/>
        </w:rPr>
        <w:t>13、投标人实力</w:t>
      </w:r>
    </w:p>
    <w:p>
      <w:pPr>
        <w:pStyle w:val="8"/>
        <w:numPr>
          <w:ilvl w:val="0"/>
          <w:numId w:val="0"/>
        </w:numPr>
        <w:snapToGrid w:val="0"/>
        <w:spacing w:before="0" w:line="360" w:lineRule="auto"/>
        <w:ind w:left="121" w:leftChars="0" w:right="213" w:rightChars="0"/>
        <w:jc w:val="both"/>
        <w:rPr>
          <w:rFonts w:hint="default" w:ascii="宋体" w:hAnsi="宋体" w:eastAsia="宋体" w:cs="宋体"/>
          <w:color w:val="auto"/>
          <w:spacing w:val="1"/>
          <w:highlight w:val="none"/>
          <w:lang w:val="en-US" w:eastAsia="zh-CN"/>
        </w:rPr>
      </w:pPr>
      <w:r>
        <w:rPr>
          <w:rFonts w:hint="eastAsia" w:ascii="宋体" w:hAnsi="宋体" w:eastAsia="宋体" w:cs="宋体"/>
          <w:color w:val="auto"/>
          <w:spacing w:val="1"/>
          <w:highlight w:val="none"/>
          <w:lang w:val="en-US" w:eastAsia="zh-CN"/>
        </w:rPr>
        <w:t>14、其他</w:t>
      </w:r>
      <w:r>
        <w:rPr>
          <w:rFonts w:hint="eastAsia" w:cs="宋体"/>
          <w:color w:val="auto"/>
          <w:spacing w:val="1"/>
          <w:highlight w:val="none"/>
          <w:lang w:val="en-US" w:eastAsia="zh-CN"/>
        </w:rPr>
        <w:t>需要提供的证明</w:t>
      </w:r>
      <w:r>
        <w:rPr>
          <w:rFonts w:hint="eastAsia" w:ascii="宋体" w:hAnsi="宋体" w:eastAsia="宋体" w:cs="宋体"/>
          <w:color w:val="auto"/>
          <w:spacing w:val="1"/>
          <w:highlight w:val="none"/>
          <w:lang w:val="en-US" w:eastAsia="zh-CN"/>
        </w:rPr>
        <w:t>材料</w:t>
      </w:r>
    </w:p>
    <w:p>
      <w:pPr>
        <w:rPr>
          <w:rFonts w:hint="eastAsia" w:ascii="宋体" w:hAnsi="宋体" w:eastAsia="宋体"/>
          <w:color w:val="auto"/>
          <w:highlight w:val="none"/>
          <w:lang w:eastAsia="zh-CN"/>
        </w:rPr>
      </w:pPr>
      <w:r>
        <w:rPr>
          <w:rFonts w:hint="eastAsia" w:ascii="宋体" w:hAnsi="宋体" w:eastAsia="宋体"/>
          <w:color w:val="auto"/>
          <w:highlight w:val="none"/>
          <w:lang w:eastAsia="zh-CN"/>
        </w:rPr>
        <w:br w:type="page"/>
      </w:r>
    </w:p>
    <w:bookmarkEnd w:id="23"/>
    <w:bookmarkEnd w:id="29"/>
    <w:bookmarkEnd w:id="30"/>
    <w:p>
      <w:pPr>
        <w:pStyle w:val="3"/>
        <w:numPr>
          <w:ilvl w:val="1"/>
          <w:numId w:val="0"/>
        </w:numPr>
        <w:adjustRightInd w:val="0"/>
        <w:snapToGrid w:val="0"/>
        <w:spacing w:before="0" w:after="312" w:afterLines="100" w:line="560" w:lineRule="exact"/>
        <w:jc w:val="center"/>
        <w:rPr>
          <w:rFonts w:hint="eastAsia" w:asciiTheme="minorEastAsia" w:hAnsiTheme="minorEastAsia" w:eastAsiaTheme="minorEastAsia" w:cstheme="minorEastAsia"/>
          <w:b/>
          <w:bCs w:val="0"/>
          <w:color w:val="auto"/>
          <w:sz w:val="28"/>
          <w:szCs w:val="28"/>
          <w:highlight w:val="none"/>
        </w:rPr>
      </w:pPr>
      <w:bookmarkStart w:id="31" w:name="_Toc6435"/>
      <w:bookmarkStart w:id="32" w:name="_Toc18131"/>
      <w:r>
        <w:rPr>
          <w:rFonts w:hint="eastAsia" w:asciiTheme="minorEastAsia" w:hAnsiTheme="minorEastAsia" w:eastAsiaTheme="minorEastAsia" w:cstheme="minorEastAsia"/>
          <w:b/>
          <w:bCs w:val="0"/>
          <w:color w:val="auto"/>
          <w:kern w:val="0"/>
          <w:sz w:val="28"/>
          <w:szCs w:val="28"/>
          <w:highlight w:val="none"/>
          <w:lang w:val="en-US" w:eastAsia="zh-CN"/>
        </w:rPr>
        <w:t>1、铜陵市公共数据资源授权运营机构申请表</w:t>
      </w:r>
    </w:p>
    <w:tbl>
      <w:tblPr>
        <w:tblStyle w:val="24"/>
        <w:tblW w:w="85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7"/>
        <w:gridCol w:w="1657"/>
        <w:gridCol w:w="840"/>
        <w:gridCol w:w="1380"/>
        <w:gridCol w:w="366"/>
        <w:gridCol w:w="390"/>
        <w:gridCol w:w="1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exact"/>
          <w:jc w:val="center"/>
        </w:trPr>
        <w:tc>
          <w:tcPr>
            <w:tcW w:w="2217" w:type="dxa"/>
            <w:vAlign w:val="center"/>
          </w:tcPr>
          <w:p>
            <w:pPr>
              <w:keepNext w:val="0"/>
              <w:keepLines w:val="0"/>
              <w:suppressLineNumbers w:val="0"/>
              <w:spacing w:before="0" w:beforeAutospacing="0" w:after="0" w:afterAutospacing="0" w:line="560" w:lineRule="exact"/>
              <w:ind w:left="0" w:right="0"/>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单位名称</w:t>
            </w:r>
          </w:p>
        </w:tc>
        <w:tc>
          <w:tcPr>
            <w:tcW w:w="6310" w:type="dxa"/>
            <w:gridSpan w:val="6"/>
            <w:vAlign w:val="center"/>
          </w:tcPr>
          <w:p>
            <w:pPr>
              <w:keepNext w:val="0"/>
              <w:keepLines w:val="0"/>
              <w:suppressLineNumbers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exact"/>
          <w:jc w:val="center"/>
        </w:trPr>
        <w:tc>
          <w:tcPr>
            <w:tcW w:w="2217" w:type="dxa"/>
            <w:vAlign w:val="center"/>
          </w:tcPr>
          <w:p>
            <w:pPr>
              <w:keepNext w:val="0"/>
              <w:keepLines w:val="0"/>
              <w:suppressLineNumbers w:val="0"/>
              <w:spacing w:before="0" w:beforeAutospacing="0" w:after="0" w:afterAutospacing="0" w:line="560" w:lineRule="exact"/>
              <w:ind w:left="0" w:right="0"/>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统一社会信用代码</w:t>
            </w:r>
          </w:p>
        </w:tc>
        <w:tc>
          <w:tcPr>
            <w:tcW w:w="6310" w:type="dxa"/>
            <w:gridSpan w:val="6"/>
            <w:vAlign w:val="center"/>
          </w:tcPr>
          <w:p>
            <w:pPr>
              <w:keepNext w:val="0"/>
              <w:keepLines w:val="0"/>
              <w:suppressLineNumbers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2217" w:type="dxa"/>
            <w:vAlign w:val="center"/>
          </w:tcPr>
          <w:p>
            <w:pPr>
              <w:keepNext w:val="0"/>
              <w:keepLines w:val="0"/>
              <w:suppressLineNumbers w:val="0"/>
              <w:spacing w:before="0" w:beforeAutospacing="0" w:after="0" w:afterAutospacing="0" w:line="560" w:lineRule="exact"/>
              <w:ind w:left="0" w:right="0"/>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通讯地址</w:t>
            </w:r>
          </w:p>
        </w:tc>
        <w:tc>
          <w:tcPr>
            <w:tcW w:w="6310" w:type="dxa"/>
            <w:gridSpan w:val="6"/>
            <w:vAlign w:val="center"/>
          </w:tcPr>
          <w:p>
            <w:pPr>
              <w:keepNext w:val="0"/>
              <w:keepLines w:val="0"/>
              <w:suppressLineNumbers w:val="0"/>
              <w:adjustRightInd w:val="0"/>
              <w:snapToGrid w:val="0"/>
              <w:spacing w:before="0" w:beforeAutospacing="0" w:after="0" w:afterAutospacing="0" w:line="560" w:lineRule="exact"/>
              <w:ind w:left="0" w:right="0"/>
              <w:rPr>
                <w:rFonts w:hint="eastAsia" w:asciiTheme="minorEastAsia" w:hAnsiTheme="minorEastAsia" w:eastAsiaTheme="minorEastAsia" w:cstheme="minorEastAsia"/>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exact"/>
          <w:jc w:val="center"/>
        </w:trPr>
        <w:tc>
          <w:tcPr>
            <w:tcW w:w="2217" w:type="dxa"/>
            <w:vAlign w:val="center"/>
          </w:tcPr>
          <w:p>
            <w:pPr>
              <w:keepNext w:val="0"/>
              <w:keepLines w:val="0"/>
              <w:suppressLineNumbers w:val="0"/>
              <w:spacing w:before="0" w:beforeAutospacing="0" w:after="0" w:afterAutospacing="0" w:line="560" w:lineRule="exact"/>
              <w:ind w:left="0" w:right="0"/>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电子信箱</w:t>
            </w:r>
          </w:p>
        </w:tc>
        <w:tc>
          <w:tcPr>
            <w:tcW w:w="1657" w:type="dxa"/>
            <w:vAlign w:val="center"/>
          </w:tcPr>
          <w:p>
            <w:pPr>
              <w:keepNext w:val="0"/>
              <w:keepLines w:val="0"/>
              <w:suppressLineNumbers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bCs/>
                <w:color w:val="auto"/>
                <w:sz w:val="24"/>
                <w:szCs w:val="24"/>
                <w:highlight w:val="none"/>
              </w:rPr>
            </w:pPr>
          </w:p>
        </w:tc>
        <w:tc>
          <w:tcPr>
            <w:tcW w:w="840" w:type="dxa"/>
            <w:vAlign w:val="center"/>
          </w:tcPr>
          <w:p>
            <w:pPr>
              <w:keepNext w:val="0"/>
              <w:keepLines w:val="0"/>
              <w:suppressLineNumbers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电话</w:t>
            </w:r>
          </w:p>
        </w:tc>
        <w:tc>
          <w:tcPr>
            <w:tcW w:w="1380" w:type="dxa"/>
            <w:vAlign w:val="center"/>
          </w:tcPr>
          <w:p>
            <w:pPr>
              <w:keepNext w:val="0"/>
              <w:keepLines w:val="0"/>
              <w:suppressLineNumbers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bCs/>
                <w:color w:val="auto"/>
                <w:sz w:val="24"/>
                <w:szCs w:val="24"/>
                <w:highlight w:val="none"/>
              </w:rPr>
            </w:pPr>
          </w:p>
        </w:tc>
        <w:tc>
          <w:tcPr>
            <w:tcW w:w="756" w:type="dxa"/>
            <w:gridSpan w:val="2"/>
            <w:vAlign w:val="center"/>
          </w:tcPr>
          <w:p>
            <w:pPr>
              <w:keepNext w:val="0"/>
              <w:keepLines w:val="0"/>
              <w:suppressLineNumbers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传真</w:t>
            </w:r>
          </w:p>
        </w:tc>
        <w:tc>
          <w:tcPr>
            <w:tcW w:w="1677" w:type="dxa"/>
            <w:vAlign w:val="center"/>
          </w:tcPr>
          <w:p>
            <w:pPr>
              <w:keepNext w:val="0"/>
              <w:keepLines w:val="0"/>
              <w:suppressLineNumbers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4" w:hRule="atLeast"/>
          <w:jc w:val="center"/>
        </w:trPr>
        <w:tc>
          <w:tcPr>
            <w:tcW w:w="2217" w:type="dxa"/>
            <w:vAlign w:val="center"/>
          </w:tcPr>
          <w:p>
            <w:pPr>
              <w:keepNext w:val="0"/>
              <w:keepLines w:val="0"/>
              <w:suppressLineNumbers w:val="0"/>
              <w:spacing w:before="0" w:beforeAutospacing="0" w:after="0" w:afterAutospacing="0" w:line="560" w:lineRule="exact"/>
              <w:ind w:left="0" w:right="0"/>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企业性质</w:t>
            </w:r>
          </w:p>
        </w:tc>
        <w:tc>
          <w:tcPr>
            <w:tcW w:w="6310" w:type="dxa"/>
            <w:gridSpan w:val="6"/>
            <w:vAlign w:val="center"/>
          </w:tcPr>
          <w:p>
            <w:pPr>
              <w:keepNext w:val="0"/>
              <w:keepLines w:val="0"/>
              <w:suppressLineNumbers w:val="0"/>
              <w:spacing w:before="0" w:beforeAutospacing="0" w:after="0" w:afterAutospacing="0" w:line="560" w:lineRule="exact"/>
              <w:ind w:left="0" w:right="0"/>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□国有独资       □国有控股     □集体企业</w:t>
            </w:r>
          </w:p>
          <w:p>
            <w:pPr>
              <w:keepNext w:val="0"/>
              <w:keepLines w:val="0"/>
              <w:suppressLineNumbers w:val="0"/>
              <w:spacing w:before="0" w:beforeAutospacing="0" w:after="0" w:afterAutospacing="0" w:line="560" w:lineRule="exact"/>
              <w:ind w:left="0" w:right="0" w:firstLine="480" w:firstLineChars="200"/>
              <w:jc w:val="both"/>
              <w:rPr>
                <w:rStyle w:val="75"/>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 xml:space="preserve">□私营企业       □股份制       □其他   </w:t>
            </w:r>
            <w:r>
              <w:rPr>
                <w:rStyle w:val="75"/>
                <w:rFonts w:hint="eastAsia" w:asciiTheme="minorEastAsia" w:hAnsiTheme="minorEastAsia" w:eastAsiaTheme="minorEastAsia" w:cstheme="minorEastAsia"/>
                <w:color w:val="auto"/>
                <w:sz w:val="24"/>
                <w:szCs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217" w:type="dxa"/>
            <w:vAlign w:val="center"/>
          </w:tcPr>
          <w:p>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注册资本金</w:t>
            </w:r>
          </w:p>
          <w:p>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（万元）</w:t>
            </w:r>
          </w:p>
          <w:p>
            <w:pPr>
              <w:keepNext w:val="0"/>
              <w:keepLines w:val="0"/>
              <w:suppressLineNumbers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（万元）（万元）</w:t>
            </w:r>
          </w:p>
        </w:tc>
        <w:tc>
          <w:tcPr>
            <w:tcW w:w="2497" w:type="dxa"/>
            <w:gridSpan w:val="2"/>
            <w:vAlign w:val="center"/>
          </w:tcPr>
          <w:p>
            <w:pPr>
              <w:keepNext w:val="0"/>
              <w:keepLines w:val="0"/>
              <w:suppressLineNumbers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员工人数</w:t>
            </w:r>
          </w:p>
        </w:tc>
        <w:tc>
          <w:tcPr>
            <w:tcW w:w="1746" w:type="dxa"/>
            <w:gridSpan w:val="2"/>
            <w:vAlign w:val="center"/>
          </w:tcPr>
          <w:p>
            <w:pPr>
              <w:keepNext w:val="0"/>
              <w:keepLines w:val="0"/>
              <w:suppressLineNumbers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联系人</w:t>
            </w:r>
          </w:p>
        </w:tc>
        <w:tc>
          <w:tcPr>
            <w:tcW w:w="2067" w:type="dxa"/>
            <w:gridSpan w:val="2"/>
            <w:vAlign w:val="center"/>
          </w:tcPr>
          <w:p>
            <w:pPr>
              <w:keepNext w:val="0"/>
              <w:keepLines w:val="0"/>
              <w:suppressLineNumbers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jc w:val="center"/>
        </w:trPr>
        <w:tc>
          <w:tcPr>
            <w:tcW w:w="2217" w:type="dxa"/>
            <w:vAlign w:val="center"/>
          </w:tcPr>
          <w:p>
            <w:pPr>
              <w:keepNext w:val="0"/>
              <w:keepLines w:val="0"/>
              <w:suppressLineNumbers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bCs/>
                <w:color w:val="auto"/>
                <w:sz w:val="24"/>
                <w:szCs w:val="24"/>
                <w:highlight w:val="none"/>
              </w:rPr>
            </w:pPr>
          </w:p>
        </w:tc>
        <w:tc>
          <w:tcPr>
            <w:tcW w:w="2497" w:type="dxa"/>
            <w:gridSpan w:val="2"/>
            <w:vAlign w:val="center"/>
          </w:tcPr>
          <w:p>
            <w:pPr>
              <w:keepNext w:val="0"/>
              <w:keepLines w:val="0"/>
              <w:suppressLineNumbers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bCs/>
                <w:color w:val="auto"/>
                <w:sz w:val="24"/>
                <w:szCs w:val="24"/>
                <w:highlight w:val="none"/>
              </w:rPr>
            </w:pPr>
          </w:p>
        </w:tc>
        <w:tc>
          <w:tcPr>
            <w:tcW w:w="1746" w:type="dxa"/>
            <w:gridSpan w:val="2"/>
            <w:vAlign w:val="center"/>
          </w:tcPr>
          <w:p>
            <w:pPr>
              <w:keepNext w:val="0"/>
              <w:keepLines w:val="0"/>
              <w:suppressLineNumbers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bCs/>
                <w:color w:val="auto"/>
                <w:sz w:val="24"/>
                <w:szCs w:val="24"/>
                <w:highlight w:val="none"/>
              </w:rPr>
            </w:pPr>
          </w:p>
        </w:tc>
        <w:tc>
          <w:tcPr>
            <w:tcW w:w="2067" w:type="dxa"/>
            <w:gridSpan w:val="2"/>
            <w:vAlign w:val="center"/>
          </w:tcPr>
          <w:p>
            <w:pPr>
              <w:keepNext w:val="0"/>
              <w:keepLines w:val="0"/>
              <w:suppressLineNumbers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1" w:hRule="atLeast"/>
          <w:jc w:val="center"/>
        </w:trPr>
        <w:tc>
          <w:tcPr>
            <w:tcW w:w="2217" w:type="dxa"/>
            <w:vAlign w:val="center"/>
          </w:tcPr>
          <w:p>
            <w:pPr>
              <w:keepNext w:val="0"/>
              <w:keepLines w:val="0"/>
              <w:suppressLineNumbers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企业简介</w:t>
            </w:r>
          </w:p>
          <w:p>
            <w:pPr>
              <w:keepNext w:val="0"/>
              <w:keepLines w:val="0"/>
              <w:suppressLineNumbers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（限500字）</w:t>
            </w:r>
          </w:p>
        </w:tc>
        <w:tc>
          <w:tcPr>
            <w:tcW w:w="6310" w:type="dxa"/>
            <w:gridSpan w:val="6"/>
          </w:tcPr>
          <w:p>
            <w:pPr>
              <w:keepNext w:val="0"/>
              <w:keepLines w:val="0"/>
              <w:suppressLineNumbers w:val="0"/>
              <w:adjustRightInd w:val="0"/>
              <w:snapToGrid w:val="0"/>
              <w:spacing w:before="0" w:beforeAutospacing="0" w:after="0" w:afterAutospacing="0" w:line="560" w:lineRule="exact"/>
              <w:ind w:left="0" w:right="0"/>
              <w:rPr>
                <w:rFonts w:hint="eastAsia" w:asciiTheme="minorEastAsia" w:hAnsiTheme="minorEastAsia" w:eastAsiaTheme="minorEastAsia" w:cstheme="minorEastAsia"/>
                <w:bCs/>
                <w:color w:val="auto"/>
                <w:sz w:val="24"/>
                <w:szCs w:val="24"/>
                <w:highlight w:val="none"/>
              </w:rPr>
            </w:pPr>
          </w:p>
          <w:p>
            <w:pPr>
              <w:keepNext w:val="0"/>
              <w:keepLines w:val="0"/>
              <w:suppressLineNumbers w:val="0"/>
              <w:adjustRightInd w:val="0"/>
              <w:snapToGrid w:val="0"/>
              <w:spacing w:before="0" w:beforeAutospacing="0" w:after="0" w:afterAutospacing="0" w:line="560" w:lineRule="exact"/>
              <w:ind w:left="0" w:right="0"/>
              <w:rPr>
                <w:rFonts w:hint="eastAsia" w:asciiTheme="minorEastAsia" w:hAnsiTheme="minorEastAsia" w:eastAsiaTheme="minorEastAsia" w:cstheme="minorEastAsia"/>
                <w:bCs/>
                <w:color w:val="auto"/>
                <w:sz w:val="24"/>
                <w:szCs w:val="24"/>
                <w:highlight w:val="none"/>
              </w:rPr>
            </w:pPr>
          </w:p>
          <w:p>
            <w:pPr>
              <w:keepNext w:val="0"/>
              <w:keepLines w:val="0"/>
              <w:suppressLineNumbers w:val="0"/>
              <w:adjustRightInd w:val="0"/>
              <w:snapToGrid w:val="0"/>
              <w:spacing w:before="0" w:beforeAutospacing="0" w:after="0" w:afterAutospacing="0" w:line="560" w:lineRule="exact"/>
              <w:ind w:left="0" w:right="0"/>
              <w:rPr>
                <w:rFonts w:hint="eastAsia" w:asciiTheme="minorEastAsia" w:hAnsiTheme="minorEastAsia" w:eastAsiaTheme="minorEastAsia" w:cstheme="minorEastAsia"/>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2" w:hRule="atLeast"/>
          <w:jc w:val="center"/>
        </w:trPr>
        <w:tc>
          <w:tcPr>
            <w:tcW w:w="8527" w:type="dxa"/>
            <w:gridSpan w:val="7"/>
            <w:vAlign w:val="center"/>
          </w:tcPr>
          <w:p>
            <w:pPr>
              <w:keepNext w:val="0"/>
              <w:keepLines w:val="0"/>
              <w:suppressLineNumbers w:val="0"/>
              <w:adjustRightInd w:val="0"/>
              <w:snapToGrid w:val="0"/>
              <w:spacing w:before="0" w:beforeAutospacing="0" w:after="0" w:afterAutospacing="0" w:line="560" w:lineRule="exact"/>
              <w:ind w:left="0" w:right="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单位意见：</w:t>
            </w:r>
          </w:p>
          <w:p>
            <w:pPr>
              <w:keepNext w:val="0"/>
              <w:keepLines w:val="0"/>
              <w:suppressLineNumbers w:val="0"/>
              <w:adjustRightInd w:val="0"/>
              <w:snapToGrid w:val="0"/>
              <w:spacing w:before="0" w:beforeAutospacing="0" w:after="0" w:afterAutospacing="0" w:line="560" w:lineRule="exact"/>
              <w:ind w:left="0" w:right="0"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本申请表填报的各项内容均真实、完整、合法、有效，本公司自愿维护</w:t>
            </w:r>
            <w:r>
              <w:rPr>
                <w:rFonts w:hint="eastAsia" w:asciiTheme="minorEastAsia" w:hAnsiTheme="minorEastAsia" w:eastAsiaTheme="minorEastAsia" w:cstheme="minorEastAsia"/>
                <w:bCs/>
                <w:color w:val="auto"/>
                <w:sz w:val="24"/>
                <w:szCs w:val="24"/>
                <w:highlight w:val="none"/>
                <w:lang w:val="en-US" w:eastAsia="zh-CN"/>
              </w:rPr>
              <w:t>安庆市</w:t>
            </w:r>
            <w:r>
              <w:rPr>
                <w:rFonts w:hint="eastAsia" w:asciiTheme="minorEastAsia" w:hAnsiTheme="minorEastAsia" w:eastAsiaTheme="minorEastAsia" w:cstheme="minorEastAsia"/>
                <w:bCs/>
                <w:color w:val="auto"/>
                <w:sz w:val="24"/>
                <w:szCs w:val="24"/>
                <w:highlight w:val="none"/>
              </w:rPr>
              <w:t>公共数据资源授权运营秩序，遵循公共数据资源授权运营相关规则，接受相关行业部门指导与监督。</w:t>
            </w:r>
          </w:p>
          <w:p>
            <w:pPr>
              <w:keepNext w:val="0"/>
              <w:keepLines w:val="0"/>
              <w:suppressLineNumbers w:val="0"/>
              <w:adjustRightInd w:val="0"/>
              <w:snapToGrid w:val="0"/>
              <w:spacing w:before="0" w:beforeAutospacing="0" w:after="0" w:afterAutospacing="0" w:line="560" w:lineRule="exact"/>
              <w:ind w:left="0" w:right="0"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 xml:space="preserve">请审核批准。      </w:t>
            </w:r>
          </w:p>
          <w:p>
            <w:pPr>
              <w:keepNext w:val="0"/>
              <w:keepLines w:val="0"/>
              <w:suppressLineNumbers w:val="0"/>
              <w:wordWrap w:val="0"/>
              <w:autoSpaceDN w:val="0"/>
              <w:adjustRightInd w:val="0"/>
              <w:snapToGrid w:val="0"/>
              <w:spacing w:before="0" w:beforeAutospacing="0" w:after="0" w:afterAutospacing="0" w:line="560" w:lineRule="exact"/>
              <w:ind w:left="0" w:right="180" w:firstLine="540" w:firstLineChars="225"/>
              <w:jc w:val="righ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 xml:space="preserve">     单位（公章）：      </w:t>
            </w:r>
          </w:p>
          <w:p>
            <w:pPr>
              <w:keepNext w:val="0"/>
              <w:keepLines w:val="0"/>
              <w:suppressLineNumbers w:val="0"/>
              <w:wordWrap w:val="0"/>
              <w:adjustRightInd w:val="0"/>
              <w:snapToGrid w:val="0"/>
              <w:spacing w:before="0" w:beforeAutospacing="0" w:after="0" w:afterAutospacing="0" w:line="560" w:lineRule="exact"/>
              <w:ind w:left="0" w:right="720"/>
              <w:jc w:val="righ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 xml:space="preserve">法定代表人或经办人签字：  </w:t>
            </w:r>
          </w:p>
          <w:p>
            <w:pPr>
              <w:keepNext w:val="0"/>
              <w:keepLines w:val="0"/>
              <w:suppressLineNumbers w:val="0"/>
              <w:adjustRightInd w:val="0"/>
              <w:snapToGrid w:val="0"/>
              <w:spacing w:before="0" w:beforeAutospacing="0" w:after="0" w:afterAutospacing="0" w:line="560" w:lineRule="exact"/>
              <w:ind w:left="0" w:right="960" w:firstLine="5280" w:firstLineChars="2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年     月     日</w:t>
            </w:r>
          </w:p>
        </w:tc>
      </w:tr>
    </w:tbl>
    <w:p>
      <w:pPr>
        <w:pStyle w:val="8"/>
        <w:rPr>
          <w:rFonts w:hint="default"/>
          <w:color w:val="auto"/>
          <w:highlight w:val="none"/>
          <w:lang w:val="en-US" w:eastAsia="zh-CN"/>
        </w:rPr>
      </w:pPr>
    </w:p>
    <w:p>
      <w:pPr>
        <w:rPr>
          <w:rFonts w:hint="eastAsia" w:ascii="宋体" w:hAnsi="宋体" w:eastAsia="宋体"/>
          <w:b/>
          <w:color w:val="auto"/>
          <w:sz w:val="28"/>
          <w:highlight w:val="none"/>
          <w:lang w:eastAsia="zh-CN"/>
        </w:rPr>
      </w:pPr>
      <w:r>
        <w:rPr>
          <w:rFonts w:hint="eastAsia" w:ascii="宋体" w:hAnsi="宋体" w:eastAsia="宋体"/>
          <w:b/>
          <w:color w:val="auto"/>
          <w:sz w:val="28"/>
          <w:highlight w:val="none"/>
          <w:lang w:eastAsia="zh-CN"/>
        </w:rPr>
        <w:br w:type="page"/>
      </w:r>
    </w:p>
    <w:p>
      <w:pPr>
        <w:rPr>
          <w:color w:val="auto"/>
          <w:highlight w:val="none"/>
        </w:rPr>
      </w:pPr>
    </w:p>
    <w:p>
      <w:pPr>
        <w:pStyle w:val="3"/>
        <w:numPr>
          <w:ilvl w:val="1"/>
          <w:numId w:val="0"/>
        </w:numPr>
        <w:adjustRightInd w:val="0"/>
        <w:snapToGrid w:val="0"/>
        <w:spacing w:before="0" w:after="312" w:afterLines="100" w:line="560" w:lineRule="exact"/>
        <w:jc w:val="center"/>
        <w:rPr>
          <w:rFonts w:hint="eastAsia" w:asciiTheme="minorEastAsia" w:hAnsiTheme="minorEastAsia" w:eastAsiaTheme="minorEastAsia" w:cstheme="minorEastAsia"/>
          <w:b/>
          <w:bCs w:val="0"/>
          <w:color w:val="auto"/>
          <w:kern w:val="0"/>
          <w:sz w:val="28"/>
          <w:szCs w:val="28"/>
          <w:highlight w:val="none"/>
          <w:lang w:val="en-US" w:eastAsia="zh-CN"/>
        </w:rPr>
      </w:pPr>
      <w:r>
        <w:rPr>
          <w:rFonts w:hint="eastAsia" w:asciiTheme="minorEastAsia" w:hAnsiTheme="minorEastAsia" w:eastAsiaTheme="minorEastAsia" w:cstheme="minorEastAsia"/>
          <w:b/>
          <w:bCs w:val="0"/>
          <w:color w:val="auto"/>
          <w:kern w:val="0"/>
          <w:sz w:val="28"/>
          <w:szCs w:val="28"/>
          <w:highlight w:val="none"/>
          <w:lang w:val="en-US" w:eastAsia="zh-CN"/>
        </w:rPr>
        <w:t>2、统一社会信用代码证件</w:t>
      </w:r>
    </w:p>
    <w:p>
      <w:pPr>
        <w:pStyle w:val="3"/>
        <w:numPr>
          <w:ilvl w:val="1"/>
          <w:numId w:val="0"/>
        </w:numPr>
        <w:adjustRightInd w:val="0"/>
        <w:snapToGrid w:val="0"/>
        <w:spacing w:before="0" w:after="312" w:afterLines="100" w:line="560" w:lineRule="exact"/>
        <w:jc w:val="center"/>
        <w:rPr>
          <w:rFonts w:hint="eastAsia" w:asciiTheme="minorEastAsia" w:hAnsiTheme="minorEastAsia" w:eastAsiaTheme="minorEastAsia" w:cstheme="minorEastAsia"/>
          <w:b/>
          <w:bCs w:val="0"/>
          <w:color w:val="auto"/>
          <w:kern w:val="0"/>
          <w:sz w:val="28"/>
          <w:szCs w:val="28"/>
          <w:highlight w:val="none"/>
          <w:lang w:val="en-US" w:eastAsia="zh-CN"/>
        </w:rPr>
      </w:pPr>
    </w:p>
    <w:p>
      <w:pPr>
        <w:adjustRightInd w:val="0"/>
        <w:snapToGrid w:val="0"/>
        <w:spacing w:line="560" w:lineRule="exac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具有有效合法营业执照、税务登记证、组织机构代码证或三证合一营业执照。</w:t>
      </w:r>
    </w:p>
    <w:p>
      <w:pPr>
        <w:adjustRightInd w:val="0"/>
        <w:snapToGrid w:val="0"/>
        <w:spacing w:line="560" w:lineRule="exact"/>
        <w:rPr>
          <w:rFonts w:hint="eastAsia" w:asciiTheme="minorEastAsia" w:hAnsiTheme="minorEastAsia" w:eastAsiaTheme="minorEastAsia" w:cstheme="minorEastAsia"/>
          <w:bCs/>
          <w:color w:val="auto"/>
          <w:sz w:val="24"/>
          <w:szCs w:val="24"/>
          <w:highlight w:val="none"/>
        </w:rPr>
      </w:pPr>
    </w:p>
    <w:p>
      <w:pPr>
        <w:adjustRightInd w:val="0"/>
        <w:snapToGrid w:val="0"/>
        <w:spacing w:line="560" w:lineRule="exact"/>
        <w:rPr>
          <w:rFonts w:hint="eastAsia" w:asciiTheme="minorEastAsia" w:hAnsiTheme="minorEastAsia" w:eastAsiaTheme="minorEastAsia" w:cstheme="minorEastAsia"/>
          <w:bCs/>
          <w:color w:val="auto"/>
          <w:sz w:val="24"/>
          <w:szCs w:val="24"/>
          <w:highlight w:val="none"/>
        </w:rPr>
        <w:sectPr>
          <w:pgSz w:w="11906" w:h="16838"/>
          <w:pgMar w:top="1440" w:right="1134" w:bottom="1440" w:left="1134" w:header="851" w:footer="992" w:gutter="0"/>
          <w:cols w:space="720" w:num="1"/>
          <w:docGrid w:type="lines" w:linePitch="312" w:charSpace="0"/>
        </w:sectPr>
      </w:pPr>
    </w:p>
    <w:p>
      <w:pPr>
        <w:pStyle w:val="3"/>
        <w:numPr>
          <w:ilvl w:val="1"/>
          <w:numId w:val="0"/>
        </w:numPr>
        <w:adjustRightInd w:val="0"/>
        <w:snapToGrid w:val="0"/>
        <w:spacing w:before="0" w:after="312" w:afterLines="100" w:line="560" w:lineRule="exact"/>
        <w:jc w:val="center"/>
        <w:rPr>
          <w:rFonts w:hint="eastAsia" w:asciiTheme="minorEastAsia" w:hAnsiTheme="minorEastAsia" w:eastAsiaTheme="minorEastAsia" w:cstheme="minorEastAsia"/>
          <w:b/>
          <w:bCs w:val="0"/>
          <w:color w:val="auto"/>
          <w:kern w:val="0"/>
          <w:sz w:val="28"/>
          <w:szCs w:val="28"/>
          <w:highlight w:val="none"/>
          <w:lang w:val="en-US" w:eastAsia="zh-CN"/>
        </w:rPr>
      </w:pPr>
      <w:r>
        <w:rPr>
          <w:rFonts w:hint="eastAsia" w:asciiTheme="minorEastAsia" w:hAnsiTheme="minorEastAsia" w:eastAsiaTheme="minorEastAsia" w:cstheme="minorEastAsia"/>
          <w:b/>
          <w:bCs w:val="0"/>
          <w:color w:val="auto"/>
          <w:kern w:val="0"/>
          <w:sz w:val="28"/>
          <w:szCs w:val="28"/>
          <w:highlight w:val="none"/>
          <w:lang w:val="en-US" w:eastAsia="zh-CN"/>
        </w:rPr>
        <w:t>3、法定代表人身份证明</w:t>
      </w:r>
    </w:p>
    <w:p>
      <w:pPr>
        <w:adjustRightInd w:val="0"/>
        <w:snapToGrid w:val="0"/>
        <w:spacing w:line="560" w:lineRule="exact"/>
        <w:ind w:firstLine="480" w:firstLineChars="200"/>
        <w:jc w:val="left"/>
        <w:rPr>
          <w:bCs/>
          <w:color w:val="auto"/>
          <w:highlight w:val="none"/>
        </w:rPr>
      </w:pPr>
    </w:p>
    <w:p>
      <w:pPr>
        <w:adjustRightInd w:val="0"/>
        <w:snapToGrid w:val="0"/>
        <w:spacing w:line="560" w:lineRule="exact"/>
        <w:ind w:firstLine="480" w:firstLineChars="200"/>
        <w:jc w:val="left"/>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姓名：</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性别：</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年龄：</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职务：</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sz w:val="24"/>
          <w:szCs w:val="24"/>
          <w:highlight w:val="none"/>
          <w:u w:val="single"/>
        </w:rPr>
        <w:t xml:space="preserve">    </w:t>
      </w:r>
    </w:p>
    <w:p>
      <w:pPr>
        <w:adjustRightInd w:val="0"/>
        <w:snapToGrid w:val="0"/>
        <w:spacing w:line="560" w:lineRule="exact"/>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系</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（法人名称）的法定代表人。</w:t>
      </w:r>
    </w:p>
    <w:p>
      <w:pPr>
        <w:adjustRightInd w:val="0"/>
        <w:snapToGrid w:val="0"/>
        <w:spacing w:line="5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特此证明。</w:t>
      </w:r>
    </w:p>
    <w:p>
      <w:pPr>
        <w:adjustRightInd w:val="0"/>
        <w:snapToGrid w:val="0"/>
        <w:spacing w:line="560" w:lineRule="exact"/>
        <w:ind w:firstLine="480" w:firstLineChars="200"/>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 xml:space="preserve">附：法定代表人身份证复印件(需同时提供正面及背面) </w:t>
      </w:r>
    </w:p>
    <w:p>
      <w:pPr>
        <w:adjustRightInd w:val="0"/>
        <w:snapToGrid w:val="0"/>
        <w:spacing w:line="560" w:lineRule="exact"/>
        <w:rPr>
          <w:bCs/>
          <w:color w:val="auto"/>
          <w:szCs w:val="21"/>
          <w:highlight w:val="none"/>
        </w:rPr>
      </w:pPr>
      <w:r>
        <w:rPr>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1320800</wp:posOffset>
                </wp:positionH>
                <wp:positionV relativeFrom="paragraph">
                  <wp:posOffset>127000</wp:posOffset>
                </wp:positionV>
                <wp:extent cx="2930525" cy="2011680"/>
                <wp:effectExtent l="4445" t="5080" r="6350" b="10160"/>
                <wp:wrapNone/>
                <wp:docPr id="1" name="流程图: 可选过程 1"/>
                <wp:cNvGraphicFramePr/>
                <a:graphic xmlns:a="http://schemas.openxmlformats.org/drawingml/2006/main">
                  <a:graphicData uri="http://schemas.microsoft.com/office/word/2010/wordprocessingShape">
                    <wps:wsp>
                      <wps:cNvSpPr>
                        <a:spLocks noChangeArrowheads="1"/>
                      </wps:cNvSpPr>
                      <wps:spPr bwMode="auto">
                        <a:xfrm>
                          <a:off x="0" y="0"/>
                          <a:ext cx="2930525" cy="2011680"/>
                        </a:xfrm>
                        <a:prstGeom prst="flowChartAlternateProcess">
                          <a:avLst/>
                        </a:prstGeom>
                        <a:solidFill>
                          <a:srgbClr val="FFFFFF"/>
                        </a:solidFill>
                        <a:ln w="9525">
                          <a:solidFill>
                            <a:srgbClr val="000000"/>
                          </a:solidFill>
                          <a:miter lim="800000"/>
                        </a:ln>
                        <a:effectLst/>
                      </wps:spPr>
                      <wps:txbx>
                        <w:txbxContent>
                          <w:p>
                            <w:pPr>
                              <w:jc w:val="center"/>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104pt;margin-top:10pt;height:158.4pt;width:230.75pt;z-index:251659264;mso-width-relative:page;mso-height-relative:page;" fillcolor="#FFFFFF" filled="t" stroked="t" coordsize="21600,21600" o:gfxdata="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GphH3dgAAAAKAQAADwAAAAAAAAABACAAAAAiAAAAZHJzL2Rvd25yZXYueG1sUEsBAhQAFAAA&#10;AAgAh07iQMjVjqthAgAArwQAAA4AAAAAAAAAAQAgAAAAJwEAAGRycy9lMm9Eb2MueG1sUEsFBgAA&#10;AAAGAAYAWQEAAPoFAAAAAA==&#10;">
                <v:fill on="t" focussize="0,0"/>
                <v:stroke color="#000000" miterlimit="8" joinstyle="miter"/>
                <v:imagedata o:title=""/>
                <o:lock v:ext="edit" aspectratio="f"/>
                <v:textbox>
                  <w:txbxContent>
                    <w:p>
                      <w:pPr>
                        <w:jc w:val="center"/>
                        <w:rPr>
                          <w:szCs w:val="21"/>
                        </w:rPr>
                      </w:pPr>
                    </w:p>
                  </w:txbxContent>
                </v:textbox>
              </v:shape>
            </w:pict>
          </mc:Fallback>
        </mc:AlternateContent>
      </w:r>
    </w:p>
    <w:p>
      <w:pPr>
        <w:adjustRightInd w:val="0"/>
        <w:snapToGrid w:val="0"/>
        <w:spacing w:line="560" w:lineRule="exact"/>
        <w:rPr>
          <w:bCs/>
          <w:color w:val="auto"/>
          <w:szCs w:val="21"/>
          <w:highlight w:val="none"/>
        </w:rPr>
      </w:pPr>
    </w:p>
    <w:p>
      <w:pPr>
        <w:adjustRightInd w:val="0"/>
        <w:snapToGrid w:val="0"/>
        <w:spacing w:line="560" w:lineRule="exact"/>
        <w:rPr>
          <w:bCs/>
          <w:color w:val="auto"/>
          <w:szCs w:val="21"/>
          <w:highlight w:val="none"/>
        </w:rPr>
      </w:pPr>
    </w:p>
    <w:p>
      <w:pPr>
        <w:adjustRightInd w:val="0"/>
        <w:snapToGrid w:val="0"/>
        <w:spacing w:line="560" w:lineRule="exact"/>
        <w:rPr>
          <w:bCs/>
          <w:color w:val="auto"/>
          <w:szCs w:val="21"/>
          <w:highlight w:val="none"/>
        </w:rPr>
      </w:pPr>
    </w:p>
    <w:p>
      <w:pPr>
        <w:pStyle w:val="6"/>
        <w:adjustRightInd w:val="0"/>
        <w:snapToGrid w:val="0"/>
        <w:spacing w:line="560" w:lineRule="exact"/>
        <w:ind w:firstLine="482"/>
        <w:rPr>
          <w:bCs/>
          <w:color w:val="auto"/>
          <w:highlight w:val="none"/>
        </w:rPr>
      </w:pPr>
    </w:p>
    <w:p>
      <w:pPr>
        <w:pStyle w:val="6"/>
        <w:adjustRightInd w:val="0"/>
        <w:snapToGrid w:val="0"/>
        <w:spacing w:line="560" w:lineRule="exact"/>
        <w:ind w:firstLine="480"/>
        <w:jc w:val="center"/>
        <w:rPr>
          <w:bCs/>
          <w:color w:val="auto"/>
          <w:highlight w:val="none"/>
        </w:rPr>
      </w:pPr>
    </w:p>
    <w:p>
      <w:pPr>
        <w:topLinePunct/>
        <w:adjustRightInd w:val="0"/>
        <w:snapToGrid w:val="0"/>
        <w:spacing w:line="560" w:lineRule="exact"/>
        <w:rPr>
          <w:bCs/>
          <w:color w:val="auto"/>
          <w:szCs w:val="21"/>
          <w:highlight w:val="none"/>
        </w:rPr>
      </w:pPr>
      <w:r>
        <w:rPr>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1332230</wp:posOffset>
                </wp:positionH>
                <wp:positionV relativeFrom="paragraph">
                  <wp:posOffset>119380</wp:posOffset>
                </wp:positionV>
                <wp:extent cx="2930525" cy="2011680"/>
                <wp:effectExtent l="4445" t="5080" r="6350" b="10160"/>
                <wp:wrapNone/>
                <wp:docPr id="3" name="流程图: 可选过程 3"/>
                <wp:cNvGraphicFramePr/>
                <a:graphic xmlns:a="http://schemas.openxmlformats.org/drawingml/2006/main">
                  <a:graphicData uri="http://schemas.microsoft.com/office/word/2010/wordprocessingShape">
                    <wps:wsp>
                      <wps:cNvSpPr>
                        <a:spLocks noChangeArrowheads="1"/>
                      </wps:cNvSpPr>
                      <wps:spPr bwMode="auto">
                        <a:xfrm>
                          <a:off x="0" y="0"/>
                          <a:ext cx="2930525" cy="2011680"/>
                        </a:xfrm>
                        <a:prstGeom prst="flowChartAlternateProcess">
                          <a:avLst/>
                        </a:prstGeom>
                        <a:solidFill>
                          <a:srgbClr val="FFFFFF"/>
                        </a:solidFill>
                        <a:ln w="9525">
                          <a:solidFill>
                            <a:srgbClr val="000000"/>
                          </a:solidFill>
                          <a:miter lim="800000"/>
                        </a:ln>
                        <a:effectLst/>
                      </wps:spPr>
                      <wps:txbx>
                        <w:txbxContent>
                          <w:p>
                            <w:pPr>
                              <w:jc w:val="center"/>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104.9pt;margin-top:9.4pt;height:158.4pt;width:230.75pt;z-index:251662336;mso-width-relative:page;mso-height-relative:page;" fillcolor="#FFFFFF" filled="t" stroked="t" coordsize="21600,21600" o:gfxdata="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hWrgqtgAAAAKAQAADwAAAAAAAAABACAAAAAiAAAAZHJzL2Rvd25yZXYueG1sUEsBAhQAFAAA&#10;AAgAh07iQCB+U05hAgAArwQAAA4AAAAAAAAAAQAgAAAAJwEAAGRycy9lMm9Eb2MueG1sUEsFBgAA&#10;AAAGAAYAWQEAAPoFAAAAAA==&#10;">
                <v:fill on="t" focussize="0,0"/>
                <v:stroke color="#000000" miterlimit="8" joinstyle="miter"/>
                <v:imagedata o:title=""/>
                <o:lock v:ext="edit" aspectratio="f"/>
                <v:textbox>
                  <w:txbxContent>
                    <w:p>
                      <w:pPr>
                        <w:jc w:val="center"/>
                        <w:rPr>
                          <w:szCs w:val="21"/>
                        </w:rPr>
                      </w:pPr>
                    </w:p>
                  </w:txbxContent>
                </v:textbox>
              </v:shape>
            </w:pict>
          </mc:Fallback>
        </mc:AlternateContent>
      </w:r>
    </w:p>
    <w:p>
      <w:pPr>
        <w:topLinePunct/>
        <w:adjustRightInd w:val="0"/>
        <w:snapToGrid w:val="0"/>
        <w:spacing w:line="560" w:lineRule="exact"/>
        <w:jc w:val="right"/>
        <w:rPr>
          <w:bCs/>
          <w:color w:val="auto"/>
          <w:szCs w:val="21"/>
          <w:highlight w:val="none"/>
        </w:rPr>
      </w:pPr>
    </w:p>
    <w:p>
      <w:pPr>
        <w:topLinePunct/>
        <w:adjustRightInd w:val="0"/>
        <w:snapToGrid w:val="0"/>
        <w:spacing w:line="560" w:lineRule="exact"/>
        <w:jc w:val="right"/>
        <w:rPr>
          <w:bCs/>
          <w:color w:val="auto"/>
          <w:szCs w:val="21"/>
          <w:highlight w:val="none"/>
        </w:rPr>
      </w:pPr>
    </w:p>
    <w:p>
      <w:pPr>
        <w:topLinePunct/>
        <w:adjustRightInd w:val="0"/>
        <w:snapToGrid w:val="0"/>
        <w:spacing w:line="560" w:lineRule="exact"/>
        <w:jc w:val="right"/>
        <w:rPr>
          <w:bCs/>
          <w:color w:val="auto"/>
          <w:szCs w:val="21"/>
          <w:highlight w:val="none"/>
        </w:rPr>
      </w:pPr>
    </w:p>
    <w:p>
      <w:pPr>
        <w:topLinePunct/>
        <w:adjustRightInd w:val="0"/>
        <w:snapToGrid w:val="0"/>
        <w:spacing w:line="560" w:lineRule="exact"/>
        <w:jc w:val="right"/>
        <w:rPr>
          <w:bCs/>
          <w:color w:val="auto"/>
          <w:szCs w:val="21"/>
          <w:highlight w:val="none"/>
        </w:rPr>
      </w:pPr>
    </w:p>
    <w:p>
      <w:pPr>
        <w:topLinePunct/>
        <w:adjustRightInd w:val="0"/>
        <w:snapToGrid w:val="0"/>
        <w:spacing w:line="560" w:lineRule="exact"/>
        <w:rPr>
          <w:bCs/>
          <w:color w:val="auto"/>
          <w:szCs w:val="21"/>
          <w:highlight w:val="none"/>
        </w:rPr>
      </w:pPr>
    </w:p>
    <w:p>
      <w:pPr>
        <w:adjustRightInd w:val="0"/>
        <w:snapToGrid w:val="0"/>
        <w:spacing w:line="560" w:lineRule="exact"/>
        <w:ind w:firstLine="640" w:firstLineChars="200"/>
        <w:jc w:val="right"/>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 xml:space="preserve"> </w:t>
      </w:r>
    </w:p>
    <w:p>
      <w:pPr>
        <w:adjustRightInd w:val="0"/>
        <w:snapToGrid w:val="0"/>
        <w:spacing w:line="560" w:lineRule="exact"/>
        <w:ind w:firstLine="480" w:firstLineChars="200"/>
        <w:jc w:val="righ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单位名称：                 （盖单位章）</w:t>
      </w:r>
    </w:p>
    <w:p>
      <w:pPr>
        <w:adjustRightInd w:val="0"/>
        <w:snapToGrid w:val="0"/>
        <w:spacing w:line="560" w:lineRule="exact"/>
        <w:ind w:firstLine="480" w:firstLineChars="200"/>
        <w:jc w:val="right"/>
        <w:rPr>
          <w:rFonts w:hint="eastAsia" w:ascii="仿宋" w:hAnsi="仿宋" w:eastAsia="仿宋" w:cs="仿宋"/>
          <w:bCs/>
          <w:color w:val="auto"/>
          <w:sz w:val="32"/>
          <w:szCs w:val="32"/>
          <w:highlight w:val="none"/>
        </w:rPr>
        <w:sectPr>
          <w:pgSz w:w="11906" w:h="16838"/>
          <w:pgMar w:top="2154" w:right="1531" w:bottom="1984" w:left="1531" w:header="851" w:footer="992" w:gutter="0"/>
          <w:cols w:space="720" w:num="1"/>
          <w:docGrid w:type="lines" w:linePitch="312" w:charSpace="0"/>
        </w:sectPr>
      </w:pPr>
      <w:r>
        <w:rPr>
          <w:rFonts w:hint="eastAsia" w:asciiTheme="minorEastAsia" w:hAnsiTheme="minorEastAsia" w:eastAsiaTheme="minorEastAsia" w:cstheme="minorEastAsia"/>
          <w:bCs/>
          <w:color w:val="auto"/>
          <w:sz w:val="24"/>
          <w:szCs w:val="24"/>
          <w:highlight w:val="none"/>
        </w:rPr>
        <w:t xml:space="preserve">日期：    年    月    </w:t>
      </w:r>
    </w:p>
    <w:p>
      <w:pPr>
        <w:pStyle w:val="3"/>
        <w:numPr>
          <w:ilvl w:val="1"/>
          <w:numId w:val="0"/>
        </w:numPr>
        <w:adjustRightInd w:val="0"/>
        <w:snapToGrid w:val="0"/>
        <w:spacing w:before="0" w:after="312" w:afterLines="100" w:line="560" w:lineRule="exact"/>
        <w:jc w:val="center"/>
        <w:rPr>
          <w:rFonts w:hint="eastAsia" w:asciiTheme="minorEastAsia" w:hAnsiTheme="minorEastAsia" w:eastAsiaTheme="minorEastAsia" w:cstheme="minorEastAsia"/>
          <w:b/>
          <w:bCs w:val="0"/>
          <w:color w:val="auto"/>
          <w:kern w:val="0"/>
          <w:sz w:val="28"/>
          <w:szCs w:val="28"/>
          <w:highlight w:val="none"/>
          <w:lang w:val="en-US" w:eastAsia="zh-CN"/>
        </w:rPr>
      </w:pPr>
      <w:r>
        <w:rPr>
          <w:rFonts w:hint="eastAsia" w:asciiTheme="minorEastAsia" w:hAnsiTheme="minorEastAsia" w:eastAsiaTheme="minorEastAsia" w:cstheme="minorEastAsia"/>
          <w:b/>
          <w:bCs w:val="0"/>
          <w:color w:val="auto"/>
          <w:kern w:val="0"/>
          <w:sz w:val="28"/>
          <w:szCs w:val="28"/>
          <w:highlight w:val="none"/>
          <w:lang w:val="en-US" w:eastAsia="zh-CN"/>
        </w:rPr>
        <w:t>4、经办人授权委托书</w:t>
      </w:r>
    </w:p>
    <w:p>
      <w:pPr>
        <w:adjustRightInd w:val="0"/>
        <w:snapToGrid w:val="0"/>
        <w:spacing w:line="560" w:lineRule="exact"/>
        <w:rPr>
          <w:bCs/>
          <w:color w:val="auto"/>
          <w:highlight w:val="none"/>
        </w:rPr>
      </w:pPr>
    </w:p>
    <w:p>
      <w:pPr>
        <w:spacing w:line="5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本人</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（身份证件号码：</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）系</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（公司名称）的法定代表人，现授权我单位</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（身份证件号码：</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）为公共数据</w:t>
      </w:r>
      <w:r>
        <w:rPr>
          <w:rFonts w:hint="eastAsia" w:asciiTheme="minorEastAsia" w:hAnsiTheme="minorEastAsia" w:eastAsiaTheme="minorEastAsia" w:cstheme="minorEastAsia"/>
          <w:bCs/>
          <w:color w:val="auto"/>
          <w:sz w:val="24"/>
          <w:szCs w:val="24"/>
          <w:highlight w:val="none"/>
          <w:lang w:eastAsia="zh-CN"/>
        </w:rPr>
        <w:t>资源</w:t>
      </w:r>
      <w:r>
        <w:rPr>
          <w:rFonts w:hint="eastAsia" w:asciiTheme="minorEastAsia" w:hAnsiTheme="minorEastAsia" w:eastAsiaTheme="minorEastAsia" w:cstheme="minorEastAsia"/>
          <w:bCs/>
          <w:color w:val="auto"/>
          <w:sz w:val="24"/>
          <w:szCs w:val="24"/>
          <w:highlight w:val="none"/>
        </w:rPr>
        <w:t xml:space="preserve">授权运营申请工作经办人。经办人代表我单位进行申请工作过程中的一切行为，包括所签署和上传的资料，我单位均予以承认，并将承担相应的法律责任。 </w:t>
      </w:r>
    </w:p>
    <w:p>
      <w:pPr>
        <w:spacing w:line="5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授权委托期限：</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年</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月</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日至</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年</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月</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日 </w:t>
      </w:r>
    </w:p>
    <w:p>
      <w:pPr>
        <w:spacing w:line="5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 xml:space="preserve"> </w:t>
      </w:r>
    </w:p>
    <w:p>
      <w:pPr>
        <w:spacing w:line="560" w:lineRule="exact"/>
        <w:jc w:val="center"/>
        <w:rPr>
          <w:rFonts w:hint="eastAsia" w:asciiTheme="minorEastAsia" w:hAnsiTheme="minorEastAsia" w:eastAsiaTheme="minorEastAsia" w:cstheme="minorEastAsia"/>
          <w:bCs/>
          <w:color w:val="auto"/>
          <w:sz w:val="24"/>
          <w:szCs w:val="24"/>
          <w:highlight w:val="none"/>
        </w:rPr>
      </w:pPr>
    </w:p>
    <w:p>
      <w:pPr>
        <w:spacing w:line="560" w:lineRule="exact"/>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 xml:space="preserve">  单位名称（盖章）：</w:t>
      </w:r>
    </w:p>
    <w:p>
      <w:pPr>
        <w:spacing w:line="560" w:lineRule="exact"/>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法定代表人（签字）：</w:t>
      </w:r>
    </w:p>
    <w:p>
      <w:pPr>
        <w:spacing w:line="560" w:lineRule="exact"/>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 xml:space="preserve">  经 办 人（签字）：</w:t>
      </w:r>
    </w:p>
    <w:p>
      <w:pPr>
        <w:spacing w:line="560" w:lineRule="exact"/>
        <w:jc w:val="righ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 xml:space="preserve">                      日期：          年  月  </w:t>
      </w:r>
    </w:p>
    <w:p>
      <w:pP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br w:type="page"/>
      </w:r>
    </w:p>
    <w:p>
      <w:pPr>
        <w:spacing w:line="560" w:lineRule="exact"/>
        <w:jc w:val="right"/>
        <w:rPr>
          <w:rFonts w:hint="eastAsia" w:asciiTheme="minorEastAsia" w:hAnsiTheme="minorEastAsia" w:eastAsiaTheme="minorEastAsia" w:cstheme="minorEastAsia"/>
          <w:bCs/>
          <w:color w:val="auto"/>
          <w:sz w:val="24"/>
          <w:szCs w:val="24"/>
          <w:highlight w:val="none"/>
        </w:rPr>
        <w:sectPr>
          <w:pgSz w:w="11906" w:h="16838"/>
          <w:pgMar w:top="2154" w:right="1531" w:bottom="1984" w:left="1531" w:header="851" w:footer="992" w:gutter="0"/>
          <w:cols w:space="720" w:num="1"/>
          <w:docGrid w:type="lines" w:linePitch="312" w:charSpace="0"/>
        </w:sectPr>
      </w:pPr>
    </w:p>
    <w:p>
      <w:pPr>
        <w:pStyle w:val="3"/>
        <w:numPr>
          <w:ilvl w:val="1"/>
          <w:numId w:val="0"/>
        </w:numPr>
        <w:adjustRightInd w:val="0"/>
        <w:snapToGrid w:val="0"/>
        <w:spacing w:before="0" w:after="312" w:afterLines="100" w:line="560" w:lineRule="exact"/>
        <w:jc w:val="center"/>
        <w:rPr>
          <w:rFonts w:hint="eastAsia" w:asciiTheme="minorEastAsia" w:hAnsiTheme="minorEastAsia" w:eastAsiaTheme="minorEastAsia" w:cstheme="minorEastAsia"/>
          <w:b/>
          <w:bCs w:val="0"/>
          <w:color w:val="auto"/>
          <w:kern w:val="0"/>
          <w:sz w:val="28"/>
          <w:szCs w:val="28"/>
          <w:highlight w:val="none"/>
          <w:lang w:val="en-US" w:eastAsia="zh-CN"/>
        </w:rPr>
      </w:pPr>
      <w:r>
        <w:rPr>
          <w:rFonts w:hint="eastAsia" w:asciiTheme="minorEastAsia" w:hAnsiTheme="minorEastAsia" w:eastAsiaTheme="minorEastAsia" w:cstheme="minorEastAsia"/>
          <w:b/>
          <w:bCs w:val="0"/>
          <w:color w:val="auto"/>
          <w:kern w:val="0"/>
          <w:sz w:val="28"/>
          <w:szCs w:val="28"/>
          <w:highlight w:val="none"/>
          <w:lang w:val="en-US" w:eastAsia="zh-CN"/>
        </w:rPr>
        <w:t>5、经办人身份证明</w:t>
      </w:r>
    </w:p>
    <w:p>
      <w:pPr>
        <w:adjustRightInd w:val="0"/>
        <w:snapToGrid w:val="0"/>
        <w:spacing w:line="560" w:lineRule="exact"/>
        <w:ind w:firstLine="480" w:firstLineChars="200"/>
        <w:jc w:val="left"/>
        <w:rPr>
          <w:rFonts w:ascii="仿宋_GB2312"/>
          <w:bCs/>
          <w:color w:val="auto"/>
          <w:szCs w:val="32"/>
          <w:highlight w:val="none"/>
        </w:rPr>
      </w:pPr>
    </w:p>
    <w:p>
      <w:pPr>
        <w:adjustRightInd w:val="0"/>
        <w:snapToGrid w:val="0"/>
        <w:spacing w:line="560" w:lineRule="exact"/>
        <w:ind w:left="0" w:leftChars="0" w:firstLine="960" w:firstLineChars="400"/>
        <w:jc w:val="left"/>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姓名：</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性别：</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年龄：</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职务：</w:t>
      </w:r>
      <w:r>
        <w:rPr>
          <w:rFonts w:hint="eastAsia" w:asciiTheme="minorEastAsia" w:hAnsiTheme="minorEastAsia" w:eastAsiaTheme="minorEastAsia" w:cstheme="minorEastAsia"/>
          <w:bCs/>
          <w:color w:val="auto"/>
          <w:sz w:val="24"/>
          <w:szCs w:val="24"/>
          <w:highlight w:val="none"/>
          <w:u w:val="single"/>
        </w:rPr>
        <w:t xml:space="preserve">           </w:t>
      </w:r>
    </w:p>
    <w:p>
      <w:pPr>
        <w:adjustRightInd w:val="0"/>
        <w:snapToGrid w:val="0"/>
        <w:spacing w:line="560" w:lineRule="exact"/>
        <w:ind w:left="480" w:leftChars="200" w:firstLine="0" w:firstLineChars="0"/>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系</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（单位名称）的合法正式员工。</w:t>
      </w:r>
    </w:p>
    <w:p>
      <w:pPr>
        <w:adjustRightInd w:val="0"/>
        <w:snapToGrid w:val="0"/>
        <w:spacing w:line="5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特此证明。</w:t>
      </w:r>
    </w:p>
    <w:p>
      <w:pPr>
        <w:adjustRightInd w:val="0"/>
        <w:snapToGrid w:val="0"/>
        <w:spacing w:line="560" w:lineRule="exact"/>
        <w:ind w:left="343" w:leftChars="143" w:firstLine="0" w:firstLineChars="0"/>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附：经办人身份证复印件(需同时提供正面及背面)</w:t>
      </w:r>
    </w:p>
    <w:p>
      <w:pPr>
        <w:adjustRightInd w:val="0"/>
        <w:snapToGrid w:val="0"/>
        <w:spacing w:line="560" w:lineRule="exact"/>
        <w:rPr>
          <w:bCs/>
          <w:color w:val="auto"/>
          <w:szCs w:val="21"/>
          <w:highlight w:val="none"/>
        </w:rPr>
      </w:pPr>
      <w:r>
        <w:rPr>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1320800</wp:posOffset>
                </wp:positionH>
                <wp:positionV relativeFrom="paragraph">
                  <wp:posOffset>127000</wp:posOffset>
                </wp:positionV>
                <wp:extent cx="2930525" cy="2011680"/>
                <wp:effectExtent l="4445" t="5080" r="6350" b="10160"/>
                <wp:wrapNone/>
                <wp:docPr id="5" name="流程图: 可选过程 5"/>
                <wp:cNvGraphicFramePr/>
                <a:graphic xmlns:a="http://schemas.openxmlformats.org/drawingml/2006/main">
                  <a:graphicData uri="http://schemas.microsoft.com/office/word/2010/wordprocessingShape">
                    <wps:wsp>
                      <wps:cNvSpPr>
                        <a:spLocks noChangeArrowheads="1"/>
                      </wps:cNvSpPr>
                      <wps:spPr bwMode="auto">
                        <a:xfrm>
                          <a:off x="0" y="0"/>
                          <a:ext cx="2930525" cy="2011680"/>
                        </a:xfrm>
                        <a:prstGeom prst="flowChartAlternateProcess">
                          <a:avLst/>
                        </a:prstGeom>
                        <a:solidFill>
                          <a:srgbClr val="FFFFFF"/>
                        </a:solidFill>
                        <a:ln w="9525">
                          <a:solidFill>
                            <a:srgbClr val="000000"/>
                          </a:solidFill>
                          <a:miter lim="800000"/>
                        </a:ln>
                        <a:effectLst/>
                      </wps:spPr>
                      <wps:txbx>
                        <w:txbxContent>
                          <w:p>
                            <w:pPr>
                              <w:jc w:val="center"/>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104pt;margin-top:10pt;height:158.4pt;width:230.75pt;z-index:251663360;mso-width-relative:page;mso-height-relative:page;" fillcolor="#FFFFFF" filled="t" stroked="t" coordsize="21600,21600" o:gfxdata="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amEfd2AAAAAoBAAAPAAAAAAAAAAEAIAAAACIAAABkcnMvZG93bnJldi54bWxQSwECFAAUAAAA&#10;CACHTuJAWYREu2ACAACvBAAADgAAAAAAAAABACAAAAAnAQAAZHJzL2Uyb0RvYy54bWxQSwUGAAAA&#10;AAYABgBZAQAA+QUAAAAA&#10;">
                <v:fill on="t" focussize="0,0"/>
                <v:stroke color="#000000" miterlimit="8" joinstyle="miter"/>
                <v:imagedata o:title=""/>
                <o:lock v:ext="edit" aspectratio="f"/>
                <v:textbox>
                  <w:txbxContent>
                    <w:p>
                      <w:pPr>
                        <w:jc w:val="center"/>
                        <w:rPr>
                          <w:szCs w:val="21"/>
                        </w:rPr>
                      </w:pPr>
                    </w:p>
                  </w:txbxContent>
                </v:textbox>
              </v:shape>
            </w:pict>
          </mc:Fallback>
        </mc:AlternateContent>
      </w:r>
    </w:p>
    <w:p>
      <w:pPr>
        <w:adjustRightInd w:val="0"/>
        <w:snapToGrid w:val="0"/>
        <w:spacing w:line="560" w:lineRule="exact"/>
        <w:rPr>
          <w:bCs/>
          <w:color w:val="auto"/>
          <w:szCs w:val="21"/>
          <w:highlight w:val="none"/>
        </w:rPr>
      </w:pPr>
    </w:p>
    <w:p>
      <w:pPr>
        <w:adjustRightInd w:val="0"/>
        <w:snapToGrid w:val="0"/>
        <w:spacing w:line="560" w:lineRule="exact"/>
        <w:rPr>
          <w:bCs/>
          <w:color w:val="auto"/>
          <w:szCs w:val="21"/>
          <w:highlight w:val="none"/>
        </w:rPr>
      </w:pPr>
    </w:p>
    <w:p>
      <w:pPr>
        <w:adjustRightInd w:val="0"/>
        <w:snapToGrid w:val="0"/>
        <w:spacing w:line="560" w:lineRule="exact"/>
        <w:rPr>
          <w:bCs/>
          <w:color w:val="auto"/>
          <w:szCs w:val="21"/>
          <w:highlight w:val="none"/>
        </w:rPr>
      </w:pPr>
    </w:p>
    <w:p>
      <w:pPr>
        <w:pStyle w:val="6"/>
        <w:adjustRightInd w:val="0"/>
        <w:snapToGrid w:val="0"/>
        <w:spacing w:line="560" w:lineRule="exact"/>
        <w:ind w:firstLine="482"/>
        <w:rPr>
          <w:bCs/>
          <w:color w:val="auto"/>
          <w:highlight w:val="none"/>
        </w:rPr>
      </w:pPr>
    </w:p>
    <w:p>
      <w:pPr>
        <w:pStyle w:val="6"/>
        <w:adjustRightInd w:val="0"/>
        <w:snapToGrid w:val="0"/>
        <w:spacing w:line="560" w:lineRule="exact"/>
        <w:ind w:firstLine="480"/>
        <w:jc w:val="center"/>
        <w:rPr>
          <w:bCs/>
          <w:color w:val="auto"/>
          <w:highlight w:val="none"/>
        </w:rPr>
      </w:pPr>
    </w:p>
    <w:p>
      <w:pPr>
        <w:topLinePunct/>
        <w:adjustRightInd w:val="0"/>
        <w:snapToGrid w:val="0"/>
        <w:spacing w:line="560" w:lineRule="exact"/>
        <w:rPr>
          <w:bCs/>
          <w:color w:val="auto"/>
          <w:szCs w:val="21"/>
          <w:highlight w:val="none"/>
        </w:rPr>
      </w:pPr>
      <w:r>
        <w:rPr>
          <w:color w:val="auto"/>
          <w:highlight w:val="none"/>
        </w:rPr>
        <mc:AlternateContent>
          <mc:Choice Requires="wps">
            <w:drawing>
              <wp:anchor distT="0" distB="0" distL="114300" distR="114300" simplePos="0" relativeHeight="251664384" behindDoc="0" locked="0" layoutInCell="1" allowOverlap="1">
                <wp:simplePos x="0" y="0"/>
                <wp:positionH relativeFrom="column">
                  <wp:posOffset>1332230</wp:posOffset>
                </wp:positionH>
                <wp:positionV relativeFrom="paragraph">
                  <wp:posOffset>119380</wp:posOffset>
                </wp:positionV>
                <wp:extent cx="2930525" cy="2011680"/>
                <wp:effectExtent l="4445" t="5080" r="6350" b="10160"/>
                <wp:wrapNone/>
                <wp:docPr id="6" name="流程图: 可选过程 6"/>
                <wp:cNvGraphicFramePr/>
                <a:graphic xmlns:a="http://schemas.openxmlformats.org/drawingml/2006/main">
                  <a:graphicData uri="http://schemas.microsoft.com/office/word/2010/wordprocessingShape">
                    <wps:wsp>
                      <wps:cNvSpPr>
                        <a:spLocks noChangeArrowheads="1"/>
                      </wps:cNvSpPr>
                      <wps:spPr bwMode="auto">
                        <a:xfrm>
                          <a:off x="0" y="0"/>
                          <a:ext cx="2930525" cy="2011680"/>
                        </a:xfrm>
                        <a:prstGeom prst="flowChartAlternateProcess">
                          <a:avLst/>
                        </a:prstGeom>
                        <a:solidFill>
                          <a:srgbClr val="FFFFFF"/>
                        </a:solidFill>
                        <a:ln w="9525">
                          <a:solidFill>
                            <a:srgbClr val="000000"/>
                          </a:solidFill>
                          <a:miter lim="800000"/>
                        </a:ln>
                        <a:effectLst/>
                      </wps:spPr>
                      <wps:txbx>
                        <w:txbxContent>
                          <w:p>
                            <w:pPr>
                              <w:jc w:val="center"/>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104.9pt;margin-top:9.4pt;height:158.4pt;width:230.75pt;z-index:251664384;mso-width-relative:page;mso-height-relative:page;" fillcolor="#FFFFFF" filled="t" stroked="t" coordsize="21600,21600" o:gfxdata="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FauCq2AAAAAoBAAAPAAAAAAAAAAEAIAAAACIAAABkcnMvZG93bnJldi54bWxQSwECFAAUAAAA&#10;CACHTuJARfp3LGACAACvBAAADgAAAAAAAAABACAAAAAnAQAAZHJzL2Uyb0RvYy54bWxQSwUGAAAA&#10;AAYABgBZAQAA+QUAAAAA&#10;">
                <v:fill on="t" focussize="0,0"/>
                <v:stroke color="#000000" miterlimit="8" joinstyle="miter"/>
                <v:imagedata o:title=""/>
                <o:lock v:ext="edit" aspectratio="f"/>
                <v:textbox>
                  <w:txbxContent>
                    <w:p>
                      <w:pPr>
                        <w:jc w:val="center"/>
                        <w:rPr>
                          <w:szCs w:val="21"/>
                        </w:rPr>
                      </w:pPr>
                    </w:p>
                  </w:txbxContent>
                </v:textbox>
              </v:shape>
            </w:pict>
          </mc:Fallback>
        </mc:AlternateContent>
      </w:r>
    </w:p>
    <w:p>
      <w:pPr>
        <w:topLinePunct/>
        <w:adjustRightInd w:val="0"/>
        <w:snapToGrid w:val="0"/>
        <w:spacing w:line="560" w:lineRule="exact"/>
        <w:jc w:val="right"/>
        <w:rPr>
          <w:bCs/>
          <w:color w:val="auto"/>
          <w:szCs w:val="21"/>
          <w:highlight w:val="none"/>
        </w:rPr>
      </w:pPr>
    </w:p>
    <w:p>
      <w:pPr>
        <w:topLinePunct/>
        <w:adjustRightInd w:val="0"/>
        <w:snapToGrid w:val="0"/>
        <w:spacing w:line="560" w:lineRule="exact"/>
        <w:jc w:val="right"/>
        <w:rPr>
          <w:bCs/>
          <w:color w:val="auto"/>
          <w:szCs w:val="21"/>
          <w:highlight w:val="none"/>
        </w:rPr>
      </w:pPr>
    </w:p>
    <w:p>
      <w:pPr>
        <w:topLinePunct/>
        <w:adjustRightInd w:val="0"/>
        <w:snapToGrid w:val="0"/>
        <w:spacing w:line="560" w:lineRule="exact"/>
        <w:jc w:val="right"/>
        <w:rPr>
          <w:bCs/>
          <w:color w:val="auto"/>
          <w:szCs w:val="21"/>
          <w:highlight w:val="none"/>
        </w:rPr>
      </w:pPr>
    </w:p>
    <w:p>
      <w:pPr>
        <w:topLinePunct/>
        <w:adjustRightInd w:val="0"/>
        <w:snapToGrid w:val="0"/>
        <w:spacing w:line="560" w:lineRule="exact"/>
        <w:jc w:val="right"/>
        <w:rPr>
          <w:bCs/>
          <w:color w:val="auto"/>
          <w:szCs w:val="21"/>
          <w:highlight w:val="none"/>
        </w:rPr>
      </w:pPr>
    </w:p>
    <w:p>
      <w:pPr>
        <w:topLinePunct/>
        <w:adjustRightInd w:val="0"/>
        <w:snapToGrid w:val="0"/>
        <w:spacing w:line="560" w:lineRule="exact"/>
        <w:rPr>
          <w:bCs/>
          <w:color w:val="auto"/>
          <w:szCs w:val="21"/>
          <w:highlight w:val="none"/>
        </w:rPr>
      </w:pPr>
    </w:p>
    <w:p>
      <w:pPr>
        <w:topLinePunct/>
        <w:adjustRightInd w:val="0"/>
        <w:snapToGrid w:val="0"/>
        <w:spacing w:line="560" w:lineRule="exact"/>
        <w:jc w:val="right"/>
        <w:rPr>
          <w:bCs/>
          <w:color w:val="auto"/>
          <w:szCs w:val="21"/>
          <w:highlight w:val="none"/>
        </w:rPr>
      </w:pPr>
    </w:p>
    <w:p>
      <w:pPr>
        <w:wordWrap w:val="0"/>
        <w:adjustRightInd w:val="0"/>
        <w:snapToGrid w:val="0"/>
        <w:spacing w:line="560" w:lineRule="exact"/>
        <w:jc w:val="right"/>
        <w:rPr>
          <w:rFonts w:hint="eastAsia" w:asciiTheme="minorEastAsia" w:hAnsiTheme="minorEastAsia" w:eastAsiaTheme="minorEastAsia" w:cstheme="minorEastAsia"/>
          <w:bCs/>
          <w:color w:val="auto"/>
          <w:sz w:val="24"/>
          <w:szCs w:val="24"/>
          <w:highlight w:val="none"/>
          <w:lang w:val="en-US" w:eastAsia="zh-CN"/>
        </w:rPr>
      </w:pPr>
      <w:r>
        <w:rPr>
          <w:rFonts w:hint="eastAsia"/>
          <w:bCs/>
          <w:color w:val="auto"/>
          <w:sz w:val="32"/>
          <w:szCs w:val="32"/>
          <w:highlight w:val="none"/>
        </w:rPr>
        <w:t xml:space="preserve">   </w:t>
      </w:r>
      <w:r>
        <w:rPr>
          <w:rFonts w:hint="eastAsia" w:asciiTheme="minorEastAsia" w:hAnsiTheme="minorEastAsia" w:eastAsiaTheme="minorEastAsia" w:cstheme="minorEastAsia"/>
          <w:bCs/>
          <w:color w:val="auto"/>
          <w:sz w:val="24"/>
          <w:szCs w:val="24"/>
          <w:highlight w:val="none"/>
        </w:rPr>
        <w:t xml:space="preserve">  </w:t>
      </w:r>
      <w:r>
        <w:rPr>
          <w:rFonts w:hint="eastAsia" w:asciiTheme="minorEastAsia" w:hAnsiTheme="minorEastAsia" w:eastAsiaTheme="minorEastAsia" w:cstheme="minorEastAsia"/>
          <w:bCs/>
          <w:color w:val="auto"/>
          <w:sz w:val="24"/>
          <w:szCs w:val="24"/>
          <w:highlight w:val="none"/>
          <w:lang w:val="en-US" w:eastAsia="zh-CN"/>
        </w:rPr>
        <w:t xml:space="preserve"> </w:t>
      </w:r>
      <w:r>
        <w:rPr>
          <w:rFonts w:hint="eastAsia" w:asciiTheme="minorEastAsia" w:hAnsiTheme="minorEastAsia" w:eastAsiaTheme="minorEastAsia" w:cstheme="minorEastAsia"/>
          <w:bCs/>
          <w:color w:val="auto"/>
          <w:sz w:val="24"/>
          <w:szCs w:val="24"/>
          <w:highlight w:val="none"/>
        </w:rPr>
        <w:t>单位名称（盖单位章）：</w:t>
      </w:r>
      <w:r>
        <w:rPr>
          <w:rFonts w:hint="eastAsia" w:asciiTheme="minorEastAsia" w:hAnsiTheme="minorEastAsia" w:eastAsiaTheme="minorEastAsia" w:cstheme="minorEastAsia"/>
          <w:bCs/>
          <w:color w:val="auto"/>
          <w:sz w:val="24"/>
          <w:szCs w:val="24"/>
          <w:highlight w:val="none"/>
          <w:lang w:val="en-US" w:eastAsia="zh-CN"/>
        </w:rPr>
        <w:t xml:space="preserve">           </w:t>
      </w:r>
    </w:p>
    <w:p>
      <w:pPr>
        <w:adjustRightInd w:val="0"/>
        <w:snapToGrid w:val="0"/>
        <w:spacing w:line="560" w:lineRule="exact"/>
        <w:jc w:val="righ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 xml:space="preserve">日期： </w:t>
      </w:r>
      <w:r>
        <w:rPr>
          <w:rFonts w:hint="eastAsia" w:asciiTheme="minorEastAsia" w:hAnsiTheme="minorEastAsia" w:eastAsiaTheme="minorEastAsia" w:cstheme="minorEastAsia"/>
          <w:bCs/>
          <w:color w:val="auto"/>
          <w:sz w:val="24"/>
          <w:szCs w:val="24"/>
          <w:highlight w:val="none"/>
          <w:lang w:val="en-US" w:eastAsia="zh-CN"/>
        </w:rPr>
        <w:t xml:space="preserve">  </w:t>
      </w:r>
      <w:r>
        <w:rPr>
          <w:rFonts w:hint="eastAsia" w:asciiTheme="minorEastAsia" w:hAnsiTheme="minorEastAsia" w:eastAsiaTheme="minorEastAsia" w:cstheme="minorEastAsia"/>
          <w:bCs/>
          <w:color w:val="auto"/>
          <w:sz w:val="24"/>
          <w:szCs w:val="24"/>
          <w:highlight w:val="none"/>
        </w:rPr>
        <w:t>年    月    日</w:t>
      </w:r>
    </w:p>
    <w:p>
      <w:pPr>
        <w:adjustRightInd w:val="0"/>
        <w:snapToGrid w:val="0"/>
        <w:spacing w:line="560" w:lineRule="exact"/>
        <w:jc w:val="right"/>
        <w:rPr>
          <w:rFonts w:hint="eastAsia" w:asciiTheme="minorEastAsia" w:hAnsiTheme="minorEastAsia" w:eastAsiaTheme="minorEastAsia" w:cstheme="minorEastAsia"/>
          <w:bCs/>
          <w:color w:val="auto"/>
          <w:sz w:val="24"/>
          <w:szCs w:val="24"/>
          <w:highlight w:val="none"/>
        </w:rPr>
        <w:sectPr>
          <w:pgSz w:w="11906" w:h="16838"/>
          <w:pgMar w:top="2154" w:right="1531" w:bottom="1984" w:left="1531" w:header="851" w:footer="992" w:gutter="0"/>
          <w:cols w:space="720" w:num="1"/>
          <w:docGrid w:type="lines" w:linePitch="312" w:charSpace="0"/>
        </w:sectPr>
      </w:pPr>
    </w:p>
    <w:p>
      <w:pPr>
        <w:pStyle w:val="3"/>
        <w:numPr>
          <w:ilvl w:val="1"/>
          <w:numId w:val="0"/>
        </w:numPr>
        <w:adjustRightInd w:val="0"/>
        <w:snapToGrid w:val="0"/>
        <w:spacing w:before="0" w:after="312" w:afterLines="100" w:line="560" w:lineRule="exact"/>
        <w:jc w:val="center"/>
        <w:rPr>
          <w:rFonts w:hint="eastAsia" w:asciiTheme="minorEastAsia" w:hAnsiTheme="minorEastAsia" w:eastAsiaTheme="minorEastAsia" w:cstheme="minorEastAsia"/>
          <w:b/>
          <w:bCs w:val="0"/>
          <w:color w:val="auto"/>
          <w:kern w:val="0"/>
          <w:sz w:val="28"/>
          <w:szCs w:val="28"/>
          <w:highlight w:val="none"/>
          <w:lang w:val="en-US" w:eastAsia="zh-CN"/>
        </w:rPr>
      </w:pPr>
      <w:r>
        <w:rPr>
          <w:rFonts w:hint="eastAsia" w:asciiTheme="minorEastAsia" w:hAnsiTheme="minorEastAsia" w:eastAsiaTheme="minorEastAsia" w:cstheme="minorEastAsia"/>
          <w:b/>
          <w:bCs w:val="0"/>
          <w:color w:val="auto"/>
          <w:kern w:val="0"/>
          <w:sz w:val="28"/>
          <w:szCs w:val="28"/>
          <w:highlight w:val="none"/>
          <w:lang w:val="en-US" w:eastAsia="zh-CN"/>
        </w:rPr>
        <w:t>6、数据安全和公共数据运营平台开发承诺书</w:t>
      </w:r>
    </w:p>
    <w:p>
      <w:pPr>
        <w:adjustRightInd w:val="0"/>
        <w:snapToGrid w:val="0"/>
        <w:spacing w:line="360" w:lineRule="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val="en-US" w:eastAsia="zh-CN"/>
        </w:rPr>
        <w:t>市数据资源局</w:t>
      </w:r>
      <w:r>
        <w:rPr>
          <w:rFonts w:hint="eastAsia" w:asciiTheme="minorEastAsia" w:hAnsiTheme="minorEastAsia" w:eastAsiaTheme="minorEastAsia" w:cstheme="minorEastAsia"/>
          <w:bCs/>
          <w:color w:val="auto"/>
          <w:sz w:val="24"/>
          <w:szCs w:val="24"/>
          <w:highlight w:val="none"/>
          <w:lang w:eastAsia="zh-CN"/>
        </w:rPr>
        <w:t>：</w:t>
      </w:r>
    </w:p>
    <w:p>
      <w:pPr>
        <w:adjustRightInd w:val="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为保障公共数据安全，依法保护个人信息，本单位在获取利用公共数据过程中，郑重承诺遵守本承诺书的有关条款，切实做好数据安全和个人信息保护工作并承担相应法律责任。</w:t>
      </w:r>
    </w:p>
    <w:p>
      <w:pPr>
        <w:adjustRightInd w:val="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一、本单位承诺遵守《中华人民共和国网络安全法》《中华人民共和国数据安全法》《中华人民共和国个人信息保护法》及有关法律、法规、规章的规定。</w:t>
      </w:r>
    </w:p>
    <w:p>
      <w:pPr>
        <w:adjustRightInd w:val="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二、本单位承诺健全数据安全管理制度，</w:t>
      </w:r>
      <w:bookmarkStart w:id="33" w:name="_Hlk138234308"/>
      <w:r>
        <w:rPr>
          <w:rFonts w:hint="eastAsia" w:asciiTheme="minorEastAsia" w:hAnsiTheme="minorEastAsia" w:eastAsiaTheme="minorEastAsia" w:cstheme="minorEastAsia"/>
          <w:bCs/>
          <w:color w:val="auto"/>
          <w:sz w:val="24"/>
          <w:szCs w:val="24"/>
          <w:highlight w:val="none"/>
        </w:rPr>
        <w:t>对本单位公共数据</w:t>
      </w:r>
      <w:r>
        <w:rPr>
          <w:rFonts w:hint="eastAsia" w:asciiTheme="minorEastAsia" w:hAnsiTheme="minorEastAsia" w:eastAsiaTheme="minorEastAsia" w:cstheme="minorEastAsia"/>
          <w:bCs/>
          <w:color w:val="auto"/>
          <w:sz w:val="24"/>
          <w:szCs w:val="24"/>
          <w:highlight w:val="none"/>
          <w:lang w:eastAsia="zh-CN"/>
        </w:rPr>
        <w:t>资源</w:t>
      </w:r>
      <w:r>
        <w:rPr>
          <w:rFonts w:hint="eastAsia" w:asciiTheme="minorEastAsia" w:hAnsiTheme="minorEastAsia" w:eastAsiaTheme="minorEastAsia" w:cstheme="minorEastAsia"/>
          <w:bCs/>
          <w:color w:val="auto"/>
          <w:sz w:val="24"/>
          <w:szCs w:val="24"/>
          <w:highlight w:val="none"/>
        </w:rPr>
        <w:t>授权运营相关的岗位人员、系统平台、技术应用、对外合作等实施全面的安全管理</w:t>
      </w:r>
      <w:bookmarkEnd w:id="33"/>
      <w:r>
        <w:rPr>
          <w:rFonts w:hint="eastAsia" w:asciiTheme="minorEastAsia" w:hAnsiTheme="minorEastAsia" w:eastAsiaTheme="minorEastAsia" w:cstheme="minorEastAsia"/>
          <w:bCs/>
          <w:color w:val="auto"/>
          <w:sz w:val="24"/>
          <w:szCs w:val="24"/>
          <w:highlight w:val="none"/>
        </w:rPr>
        <w:t>。</w:t>
      </w:r>
    </w:p>
    <w:p>
      <w:pPr>
        <w:adjustRightInd w:val="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三、涉及个人信息、商业秘密、保密商务信息的公共数据，应经过脱敏、脱密处理，或经相关数据所指向的特定自然人、法人和非法人组织依法授权同意后获取。</w:t>
      </w:r>
    </w:p>
    <w:p>
      <w:pPr>
        <w:adjustRightInd w:val="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四、本单位承诺如发现数据安全隐患或其它不安全因素，应第一时间上报公共数据主管部门，并密切配合做好数据安全事件的处置及调查工作，采取措施消除安全隐患。</w:t>
      </w:r>
    </w:p>
    <w:p>
      <w:pPr>
        <w:adjustRightInd w:val="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五、本单位承诺一旦发现有关数据已经泄露或可能泄露，立即通知公共数据主管部门，共同采取相应措施，查找相关工作人员和泄漏原因、线索和证据，并承担相应责任。</w:t>
      </w:r>
    </w:p>
    <w:p>
      <w:pPr>
        <w:adjustRightInd w:val="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六、若违反本承诺书有关条款和国家相关法律法规的，本单位直接承担相应法律责任，侵犯商业秘密、个人隐私等他人合法权益或造成财产损失的，由本单位直接赔偿并且销毁有关数据。同时，贵单位有权暂停或停止运营授权。</w:t>
      </w:r>
    </w:p>
    <w:p>
      <w:pPr>
        <w:adjustRightInd w:val="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七、本承诺书自签署之日起生效并遵行。</w:t>
      </w:r>
    </w:p>
    <w:p>
      <w:pPr>
        <w:adjustRightInd w:val="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val="en-US" w:eastAsia="zh-CN"/>
        </w:rPr>
        <w:t>八、</w:t>
      </w:r>
      <w:r>
        <w:rPr>
          <w:rFonts w:hint="eastAsia" w:asciiTheme="minorEastAsia" w:hAnsiTheme="minorEastAsia" w:eastAsiaTheme="minorEastAsia" w:cstheme="minorEastAsia"/>
          <w:bCs/>
          <w:color w:val="auto"/>
          <w:sz w:val="24"/>
          <w:szCs w:val="24"/>
          <w:highlight w:val="none"/>
        </w:rPr>
        <w:t>对上述书面承诺的真实性负责。如有虚假，将依法承担相应责任</w:t>
      </w:r>
      <w:r>
        <w:rPr>
          <w:rFonts w:hint="eastAsia" w:asciiTheme="minorEastAsia" w:hAnsiTheme="minorEastAsia" w:eastAsiaTheme="minorEastAsia" w:cstheme="minorEastAsia"/>
          <w:bCs/>
          <w:color w:val="auto"/>
          <w:sz w:val="24"/>
          <w:szCs w:val="24"/>
          <w:highlight w:val="none"/>
          <w:lang w:eastAsia="zh-CN"/>
        </w:rPr>
        <w:t>。</w:t>
      </w:r>
    </w:p>
    <w:p>
      <w:pPr>
        <w:adjustRightInd w:val="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p>
    <w:p>
      <w:pPr>
        <w:adjustRightInd w:val="0"/>
        <w:snapToGrid w:val="0"/>
        <w:spacing w:line="360" w:lineRule="auto"/>
        <w:ind w:firstLine="480" w:firstLineChars="200"/>
        <w:jc w:val="righ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 xml:space="preserve">         单位名称（盖章）：</w:t>
      </w:r>
    </w:p>
    <w:p>
      <w:pPr>
        <w:adjustRightInd w:val="0"/>
        <w:snapToGrid w:val="0"/>
        <w:spacing w:line="360" w:lineRule="auto"/>
        <w:ind w:firstLine="480" w:firstLineChars="200"/>
        <w:jc w:val="righ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法定代表人或经办人（签字）：</w:t>
      </w:r>
    </w:p>
    <w:p>
      <w:pPr>
        <w:adjustRightInd w:val="0"/>
        <w:snapToGrid w:val="0"/>
        <w:spacing w:line="360" w:lineRule="auto"/>
        <w:ind w:firstLine="480" w:firstLineChars="200"/>
        <w:jc w:val="righ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 xml:space="preserve">                           日期：   年  月  日</w:t>
      </w:r>
    </w:p>
    <w:p>
      <w:pPr>
        <w:rPr>
          <w:rFonts w:hint="eastAsia" w:ascii="黑体" w:hAnsi="黑体" w:cs="黑体"/>
          <w:b w:val="0"/>
          <w:bCs/>
          <w:color w:val="auto"/>
          <w:highlight w:val="none"/>
          <w:lang w:val="en-US" w:eastAsia="zh-CN"/>
        </w:rPr>
      </w:pPr>
      <w:r>
        <w:rPr>
          <w:rFonts w:hint="eastAsia" w:ascii="黑体" w:hAnsi="黑体" w:cs="黑体"/>
          <w:b w:val="0"/>
          <w:bCs/>
          <w:color w:val="auto"/>
          <w:highlight w:val="none"/>
        </w:rPr>
        <w:br w:type="page"/>
      </w:r>
    </w:p>
    <w:p>
      <w:pPr>
        <w:pStyle w:val="3"/>
        <w:numPr>
          <w:ilvl w:val="1"/>
          <w:numId w:val="0"/>
        </w:numPr>
        <w:adjustRightInd w:val="0"/>
        <w:snapToGrid w:val="0"/>
        <w:spacing w:before="0" w:after="312" w:afterLines="100" w:line="560" w:lineRule="exact"/>
        <w:jc w:val="center"/>
        <w:rPr>
          <w:rFonts w:hint="eastAsia" w:asciiTheme="minorEastAsia" w:hAnsiTheme="minorEastAsia" w:eastAsiaTheme="minorEastAsia" w:cstheme="minorEastAsia"/>
          <w:b/>
          <w:bCs w:val="0"/>
          <w:color w:val="auto"/>
          <w:kern w:val="0"/>
          <w:sz w:val="28"/>
          <w:szCs w:val="28"/>
          <w:highlight w:val="none"/>
          <w:lang w:val="en-US" w:eastAsia="zh-CN"/>
        </w:rPr>
      </w:pPr>
      <w:r>
        <w:rPr>
          <w:rFonts w:hint="eastAsia" w:asciiTheme="minorEastAsia" w:hAnsiTheme="minorEastAsia" w:eastAsiaTheme="minorEastAsia" w:cstheme="minorEastAsia"/>
          <w:b/>
          <w:bCs w:val="0"/>
          <w:color w:val="auto"/>
          <w:kern w:val="0"/>
          <w:sz w:val="28"/>
          <w:szCs w:val="28"/>
          <w:highlight w:val="none"/>
          <w:lang w:val="en-US" w:eastAsia="zh-CN"/>
        </w:rPr>
        <w:t>7、办公条件（含网络环境）承诺书</w:t>
      </w:r>
    </w:p>
    <w:p>
      <w:pPr>
        <w:adjustRightInd w:val="0"/>
        <w:snapToGrid w:val="0"/>
        <w:spacing w:line="560" w:lineRule="exact"/>
        <w:rPr>
          <w:rFonts w:ascii="仿宋" w:hAnsi="仿宋" w:eastAsia="仿宋"/>
          <w:bCs/>
          <w:color w:val="auto"/>
          <w:szCs w:val="32"/>
          <w:highlight w:val="none"/>
        </w:rPr>
      </w:pPr>
    </w:p>
    <w:p>
      <w:pPr>
        <w:adjustRightInd w:val="0"/>
        <w:snapToGrid w:val="0"/>
        <w:spacing w:line="560" w:lineRule="exact"/>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val="en-US" w:eastAsia="zh-CN"/>
        </w:rPr>
        <w:t>市数据资源局</w:t>
      </w:r>
      <w:r>
        <w:rPr>
          <w:rFonts w:hint="eastAsia" w:asciiTheme="minorEastAsia" w:hAnsiTheme="minorEastAsia" w:eastAsiaTheme="minorEastAsia" w:cstheme="minorEastAsia"/>
          <w:bCs/>
          <w:color w:val="auto"/>
          <w:sz w:val="24"/>
          <w:szCs w:val="24"/>
          <w:highlight w:val="none"/>
          <w:lang w:eastAsia="zh-CN"/>
        </w:rPr>
        <w:t>：</w:t>
      </w:r>
    </w:p>
    <w:p>
      <w:pPr>
        <w:adjustRightInd w:val="0"/>
        <w:snapToGrid w:val="0"/>
        <w:spacing w:line="560" w:lineRule="exact"/>
        <w:ind w:firstLine="480" w:firstLineChars="200"/>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rPr>
        <w:t>为保障公共数据</w:t>
      </w:r>
      <w:r>
        <w:rPr>
          <w:rFonts w:hint="eastAsia" w:asciiTheme="minorEastAsia" w:hAnsiTheme="minorEastAsia" w:eastAsiaTheme="minorEastAsia" w:cstheme="minorEastAsia"/>
          <w:bCs/>
          <w:color w:val="auto"/>
          <w:sz w:val="24"/>
          <w:szCs w:val="24"/>
          <w:highlight w:val="none"/>
          <w:lang w:eastAsia="zh-CN"/>
        </w:rPr>
        <w:t>资源</w:t>
      </w:r>
      <w:r>
        <w:rPr>
          <w:rFonts w:hint="eastAsia" w:asciiTheme="minorEastAsia" w:hAnsiTheme="minorEastAsia" w:eastAsiaTheme="minorEastAsia" w:cstheme="minorEastAsia"/>
          <w:bCs/>
          <w:color w:val="auto"/>
          <w:sz w:val="24"/>
          <w:szCs w:val="24"/>
          <w:highlight w:val="none"/>
          <w:lang w:val="en-US" w:eastAsia="zh-CN"/>
        </w:rPr>
        <w:t>授权运营的顺利开展</w:t>
      </w:r>
      <w:r>
        <w:rPr>
          <w:rFonts w:hint="eastAsia" w:asciiTheme="minorEastAsia" w:hAnsiTheme="minorEastAsia" w:eastAsiaTheme="minorEastAsia" w:cstheme="minorEastAsia"/>
          <w:bCs/>
          <w:color w:val="auto"/>
          <w:sz w:val="24"/>
          <w:szCs w:val="24"/>
          <w:highlight w:val="none"/>
        </w:rPr>
        <w:t>，本单位郑重承诺</w:t>
      </w:r>
      <w:r>
        <w:rPr>
          <w:rFonts w:hint="eastAsia" w:asciiTheme="minorEastAsia" w:hAnsiTheme="minorEastAsia" w:eastAsiaTheme="minorEastAsia" w:cstheme="minorEastAsia"/>
          <w:bCs/>
          <w:color w:val="auto"/>
          <w:sz w:val="24"/>
          <w:szCs w:val="24"/>
          <w:highlight w:val="none"/>
          <w:lang w:eastAsia="zh-CN"/>
        </w:rPr>
        <w:t>，</w:t>
      </w:r>
      <w:r>
        <w:rPr>
          <w:rFonts w:hint="eastAsia" w:asciiTheme="minorEastAsia" w:hAnsiTheme="minorEastAsia" w:eastAsiaTheme="minorEastAsia" w:cstheme="minorEastAsia"/>
          <w:bCs/>
          <w:color w:val="auto"/>
          <w:sz w:val="24"/>
          <w:szCs w:val="24"/>
          <w:highlight w:val="none"/>
          <w:lang w:val="en-US" w:eastAsia="zh-CN"/>
        </w:rPr>
        <w:t>如若申报成功，自觉</w:t>
      </w:r>
      <w:r>
        <w:rPr>
          <w:rFonts w:hint="eastAsia" w:asciiTheme="minorEastAsia" w:hAnsiTheme="minorEastAsia" w:eastAsiaTheme="minorEastAsia" w:cstheme="minorEastAsia"/>
          <w:bCs/>
          <w:color w:val="auto"/>
          <w:sz w:val="24"/>
          <w:szCs w:val="24"/>
          <w:highlight w:val="none"/>
        </w:rPr>
        <w:t>遵守本承诺书的有关条款</w:t>
      </w:r>
      <w:r>
        <w:rPr>
          <w:rFonts w:hint="eastAsia" w:asciiTheme="minorEastAsia" w:hAnsiTheme="minorEastAsia" w:eastAsiaTheme="minorEastAsia" w:cstheme="minorEastAsia"/>
          <w:bCs/>
          <w:color w:val="auto"/>
          <w:sz w:val="24"/>
          <w:szCs w:val="24"/>
          <w:highlight w:val="none"/>
          <w:lang w:eastAsia="zh-CN"/>
        </w:rPr>
        <w:t>。</w:t>
      </w:r>
    </w:p>
    <w:p>
      <w:pPr>
        <w:numPr>
          <w:ilvl w:val="0"/>
          <w:numId w:val="3"/>
        </w:numPr>
        <w:adjustRightInd w:val="0"/>
        <w:snapToGrid w:val="0"/>
        <w:spacing w:line="56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提供</w:t>
      </w:r>
      <w:r>
        <w:rPr>
          <w:rFonts w:hint="eastAsia" w:asciiTheme="minorEastAsia" w:hAnsiTheme="minorEastAsia" w:eastAsiaTheme="minorEastAsia" w:cstheme="minorEastAsia"/>
          <w:color w:val="auto"/>
          <w:sz w:val="24"/>
          <w:szCs w:val="24"/>
          <w:highlight w:val="none"/>
        </w:rPr>
        <w:t>公共数据</w:t>
      </w:r>
      <w:r>
        <w:rPr>
          <w:rFonts w:hint="eastAsia" w:asciiTheme="minorEastAsia" w:hAnsiTheme="minorEastAsia" w:eastAsiaTheme="minorEastAsia" w:cstheme="minorEastAsia"/>
          <w:color w:val="auto"/>
          <w:sz w:val="24"/>
          <w:szCs w:val="24"/>
          <w:highlight w:val="none"/>
          <w:lang w:eastAsia="zh-CN"/>
        </w:rPr>
        <w:t>资源</w:t>
      </w:r>
      <w:r>
        <w:rPr>
          <w:rFonts w:hint="eastAsia" w:asciiTheme="minorEastAsia" w:hAnsiTheme="minorEastAsia" w:eastAsiaTheme="minorEastAsia" w:cstheme="minorEastAsia"/>
          <w:color w:val="auto"/>
          <w:sz w:val="24"/>
          <w:szCs w:val="24"/>
          <w:highlight w:val="none"/>
        </w:rPr>
        <w:t>授权运营所需的办公</w:t>
      </w:r>
      <w:r>
        <w:rPr>
          <w:rFonts w:hint="eastAsia" w:asciiTheme="minorEastAsia" w:hAnsiTheme="minorEastAsia" w:eastAsiaTheme="minorEastAsia" w:cstheme="minorEastAsia"/>
          <w:color w:val="auto"/>
          <w:sz w:val="24"/>
          <w:szCs w:val="24"/>
          <w:highlight w:val="none"/>
          <w:lang w:val="en-US" w:eastAsia="zh-CN"/>
        </w:rPr>
        <w:t>场地。</w:t>
      </w:r>
    </w:p>
    <w:p>
      <w:pPr>
        <w:numPr>
          <w:ilvl w:val="0"/>
          <w:numId w:val="3"/>
        </w:numPr>
        <w:adjustRightInd w:val="0"/>
        <w:snapToGrid w:val="0"/>
        <w:spacing w:line="5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积极配合接入政务外网的相关规定要求，提供相应的硬件设施及软件配套，或在贵单位的指导监督下，限期改造，以满足相关要求。</w:t>
      </w:r>
    </w:p>
    <w:p>
      <w:pPr>
        <w:numPr>
          <w:ilvl w:val="0"/>
          <w:numId w:val="3"/>
        </w:numPr>
        <w:adjustRightInd w:val="0"/>
        <w:snapToGrid w:val="0"/>
        <w:spacing w:line="5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若违反本承诺书有关条款</w:t>
      </w:r>
      <w:r>
        <w:rPr>
          <w:rFonts w:hint="eastAsia" w:asciiTheme="minorEastAsia" w:hAnsiTheme="minorEastAsia" w:eastAsiaTheme="minorEastAsia" w:cstheme="minorEastAsia"/>
          <w:bCs/>
          <w:color w:val="auto"/>
          <w:sz w:val="24"/>
          <w:szCs w:val="24"/>
          <w:highlight w:val="none"/>
          <w:lang w:eastAsia="zh-CN"/>
        </w:rPr>
        <w:t>，</w:t>
      </w:r>
      <w:r>
        <w:rPr>
          <w:rFonts w:hint="eastAsia" w:asciiTheme="minorEastAsia" w:hAnsiTheme="minorEastAsia" w:eastAsiaTheme="minorEastAsia" w:cstheme="minorEastAsia"/>
          <w:bCs/>
          <w:color w:val="auto"/>
          <w:sz w:val="24"/>
          <w:szCs w:val="24"/>
          <w:highlight w:val="none"/>
          <w:lang w:val="en-US" w:eastAsia="zh-CN"/>
        </w:rPr>
        <w:t>造成公共数据资源授权运营活动无法正常有序开展的，</w:t>
      </w:r>
      <w:r>
        <w:rPr>
          <w:rFonts w:hint="eastAsia" w:asciiTheme="minorEastAsia" w:hAnsiTheme="minorEastAsia" w:eastAsiaTheme="minorEastAsia" w:cstheme="minorEastAsia"/>
          <w:bCs/>
          <w:color w:val="auto"/>
          <w:sz w:val="24"/>
          <w:szCs w:val="24"/>
          <w:highlight w:val="none"/>
        </w:rPr>
        <w:t>贵单位有权暂停或停止运营授权</w:t>
      </w:r>
      <w:r>
        <w:rPr>
          <w:rFonts w:hint="eastAsia" w:asciiTheme="minorEastAsia" w:hAnsiTheme="minorEastAsia" w:eastAsiaTheme="minorEastAsia" w:cstheme="minorEastAsia"/>
          <w:bCs/>
          <w:color w:val="auto"/>
          <w:sz w:val="24"/>
          <w:szCs w:val="24"/>
          <w:highlight w:val="none"/>
          <w:lang w:val="en-US" w:eastAsia="zh-CN"/>
        </w:rPr>
        <w:t>并索要相应赔偿</w:t>
      </w:r>
      <w:r>
        <w:rPr>
          <w:rFonts w:hint="eastAsia" w:asciiTheme="minorEastAsia" w:hAnsiTheme="minorEastAsia" w:eastAsiaTheme="minorEastAsia" w:cstheme="minorEastAsia"/>
          <w:bCs/>
          <w:color w:val="auto"/>
          <w:sz w:val="24"/>
          <w:szCs w:val="24"/>
          <w:highlight w:val="none"/>
        </w:rPr>
        <w:t>。</w:t>
      </w:r>
    </w:p>
    <w:p>
      <w:pPr>
        <w:numPr>
          <w:ilvl w:val="0"/>
          <w:numId w:val="3"/>
        </w:numPr>
        <w:adjustRightInd w:val="0"/>
        <w:snapToGrid w:val="0"/>
        <w:spacing w:line="5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本承诺书自签署之日起生效并遵行。</w:t>
      </w:r>
    </w:p>
    <w:p>
      <w:pPr>
        <w:adjustRightInd w:val="0"/>
        <w:snapToGrid w:val="0"/>
        <w:spacing w:line="560" w:lineRule="exact"/>
        <w:ind w:firstLine="480" w:firstLineChars="200"/>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val="en-US" w:eastAsia="zh-CN"/>
        </w:rPr>
        <w:t>五、</w:t>
      </w:r>
      <w:r>
        <w:rPr>
          <w:rFonts w:hint="eastAsia" w:asciiTheme="minorEastAsia" w:hAnsiTheme="minorEastAsia" w:eastAsiaTheme="minorEastAsia" w:cstheme="minorEastAsia"/>
          <w:bCs/>
          <w:color w:val="auto"/>
          <w:sz w:val="24"/>
          <w:szCs w:val="24"/>
          <w:highlight w:val="none"/>
        </w:rPr>
        <w:t>对上述书面承诺的真实性负责。如有虚假，将依法承担相应责任</w:t>
      </w:r>
      <w:r>
        <w:rPr>
          <w:rFonts w:hint="eastAsia" w:asciiTheme="minorEastAsia" w:hAnsiTheme="minorEastAsia" w:eastAsiaTheme="minorEastAsia" w:cstheme="minorEastAsia"/>
          <w:bCs/>
          <w:color w:val="auto"/>
          <w:sz w:val="24"/>
          <w:szCs w:val="24"/>
          <w:highlight w:val="none"/>
          <w:lang w:eastAsia="zh-CN"/>
        </w:rPr>
        <w:t>。</w:t>
      </w:r>
    </w:p>
    <w:p>
      <w:pPr>
        <w:pStyle w:val="8"/>
        <w:rPr>
          <w:rFonts w:hint="eastAsia" w:asciiTheme="minorEastAsia" w:hAnsiTheme="minorEastAsia" w:eastAsiaTheme="minorEastAsia" w:cstheme="minorEastAsia"/>
          <w:color w:val="auto"/>
          <w:sz w:val="24"/>
          <w:szCs w:val="24"/>
          <w:highlight w:val="none"/>
        </w:rPr>
      </w:pPr>
    </w:p>
    <w:p>
      <w:pPr>
        <w:numPr>
          <w:ilvl w:val="0"/>
          <w:numId w:val="0"/>
        </w:numPr>
        <w:adjustRightInd w:val="0"/>
        <w:snapToGrid w:val="0"/>
        <w:spacing w:line="560" w:lineRule="exact"/>
        <w:rPr>
          <w:rFonts w:hint="eastAsia" w:asciiTheme="minorEastAsia" w:hAnsiTheme="minorEastAsia" w:eastAsiaTheme="minorEastAsia" w:cstheme="minorEastAsia"/>
          <w:bCs/>
          <w:color w:val="auto"/>
          <w:sz w:val="24"/>
          <w:szCs w:val="24"/>
          <w:highlight w:val="none"/>
        </w:rPr>
      </w:pPr>
    </w:p>
    <w:p>
      <w:pPr>
        <w:numPr>
          <w:ilvl w:val="0"/>
          <w:numId w:val="0"/>
        </w:numPr>
        <w:adjustRightInd w:val="0"/>
        <w:snapToGrid w:val="0"/>
        <w:spacing w:line="560" w:lineRule="exact"/>
        <w:rPr>
          <w:rFonts w:hint="eastAsia" w:asciiTheme="minorEastAsia" w:hAnsiTheme="minorEastAsia" w:eastAsiaTheme="minorEastAsia" w:cstheme="minorEastAsia"/>
          <w:bCs/>
          <w:color w:val="auto"/>
          <w:sz w:val="24"/>
          <w:szCs w:val="24"/>
          <w:highlight w:val="none"/>
        </w:rPr>
      </w:pPr>
    </w:p>
    <w:p>
      <w:pPr>
        <w:adjustRightInd w:val="0"/>
        <w:snapToGrid w:val="0"/>
        <w:spacing w:line="560" w:lineRule="exact"/>
        <w:ind w:firstLine="480" w:firstLineChars="200"/>
        <w:jc w:val="righ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单位名称（盖章）：</w:t>
      </w:r>
    </w:p>
    <w:p>
      <w:pPr>
        <w:adjustRightInd w:val="0"/>
        <w:snapToGrid w:val="0"/>
        <w:spacing w:line="560" w:lineRule="exact"/>
        <w:ind w:firstLine="480" w:firstLineChars="200"/>
        <w:jc w:val="righ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法定代表人或经办人（签字）：</w:t>
      </w:r>
    </w:p>
    <w:p>
      <w:pPr>
        <w:adjustRightInd w:val="0"/>
        <w:snapToGrid w:val="0"/>
        <w:spacing w:line="560" w:lineRule="exact"/>
        <w:ind w:firstLine="480" w:firstLineChars="200"/>
        <w:jc w:val="righ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 xml:space="preserve">                             日期：   年  月  日</w:t>
      </w:r>
    </w:p>
    <w:p>
      <w:pPr>
        <w:adjustRightInd w:val="0"/>
        <w:snapToGrid w:val="0"/>
        <w:spacing w:line="560" w:lineRule="exact"/>
        <w:ind w:firstLine="640" w:firstLineChars="200"/>
        <w:jc w:val="right"/>
        <w:rPr>
          <w:rFonts w:hint="eastAsia" w:ascii="Times New Roman" w:hAnsi="Times New Roman" w:eastAsia="仿宋_GB2312"/>
          <w:bCs/>
          <w:color w:val="auto"/>
          <w:sz w:val="32"/>
          <w:szCs w:val="32"/>
          <w:highlight w:val="none"/>
        </w:rPr>
      </w:pPr>
    </w:p>
    <w:p>
      <w:pPr>
        <w:rPr>
          <w:rFonts w:hint="eastAsia"/>
          <w:color w:val="auto"/>
          <w:highlight w:val="none"/>
          <w:lang w:val="en-US" w:eastAsia="zh-CN"/>
        </w:rPr>
      </w:pPr>
      <w:r>
        <w:rPr>
          <w:rFonts w:hint="eastAsia"/>
          <w:color w:val="auto"/>
          <w:highlight w:val="none"/>
          <w:lang w:val="en-US" w:eastAsia="zh-CN"/>
        </w:rPr>
        <w:br w:type="page"/>
      </w:r>
    </w:p>
    <w:p>
      <w:pPr>
        <w:pStyle w:val="3"/>
        <w:numPr>
          <w:ilvl w:val="1"/>
          <w:numId w:val="0"/>
        </w:numPr>
        <w:adjustRightInd w:val="0"/>
        <w:snapToGrid w:val="0"/>
        <w:spacing w:before="0" w:after="312" w:afterLines="100" w:line="560" w:lineRule="exact"/>
        <w:jc w:val="center"/>
        <w:rPr>
          <w:rFonts w:hint="eastAsia" w:asciiTheme="minorEastAsia" w:hAnsiTheme="minorEastAsia" w:eastAsiaTheme="minorEastAsia" w:cstheme="minorEastAsia"/>
          <w:b/>
          <w:bCs w:val="0"/>
          <w:color w:val="auto"/>
          <w:kern w:val="0"/>
          <w:sz w:val="28"/>
          <w:szCs w:val="28"/>
          <w:highlight w:val="none"/>
          <w:lang w:val="en-US" w:eastAsia="zh-CN"/>
        </w:rPr>
      </w:pPr>
    </w:p>
    <w:p>
      <w:pPr>
        <w:pStyle w:val="3"/>
        <w:numPr>
          <w:ilvl w:val="1"/>
          <w:numId w:val="0"/>
        </w:numPr>
        <w:adjustRightInd w:val="0"/>
        <w:snapToGrid w:val="0"/>
        <w:spacing w:before="0" w:after="312" w:afterLines="100" w:line="560" w:lineRule="exact"/>
        <w:jc w:val="center"/>
        <w:rPr>
          <w:rFonts w:hint="eastAsia" w:asciiTheme="minorEastAsia" w:hAnsiTheme="minorEastAsia" w:eastAsiaTheme="minorEastAsia" w:cstheme="minorEastAsia"/>
          <w:b/>
          <w:bCs w:val="0"/>
          <w:color w:val="auto"/>
          <w:kern w:val="0"/>
          <w:sz w:val="28"/>
          <w:szCs w:val="28"/>
          <w:highlight w:val="none"/>
          <w:lang w:val="en-US" w:eastAsia="zh-CN"/>
        </w:rPr>
      </w:pPr>
      <w:r>
        <w:rPr>
          <w:rFonts w:hint="eastAsia" w:asciiTheme="minorEastAsia" w:hAnsiTheme="minorEastAsia" w:eastAsiaTheme="minorEastAsia" w:cstheme="minorEastAsia"/>
          <w:b/>
          <w:bCs w:val="0"/>
          <w:color w:val="auto"/>
          <w:kern w:val="0"/>
          <w:sz w:val="28"/>
          <w:szCs w:val="28"/>
          <w:highlight w:val="none"/>
          <w:lang w:val="en-US" w:eastAsia="zh-CN"/>
        </w:rPr>
        <w:t>8、企业信用报告</w:t>
      </w:r>
    </w:p>
    <w:p>
      <w:pPr>
        <w:adjustRightInd w:val="0"/>
        <w:snapToGrid w:val="0"/>
        <w:spacing w:line="560" w:lineRule="exact"/>
        <w:ind w:firstLine="600" w:firstLineChars="200"/>
        <w:jc w:val="left"/>
        <w:rPr>
          <w:rStyle w:val="30"/>
          <w:rFonts w:ascii="宋体" w:hAnsi="宋体"/>
          <w:bCs/>
          <w:color w:val="auto"/>
          <w:sz w:val="30"/>
          <w:szCs w:val="30"/>
          <w:highlight w:val="none"/>
          <w:u w:val="none"/>
        </w:rPr>
      </w:pPr>
    </w:p>
    <w:p>
      <w:pPr>
        <w:keepNext w:val="0"/>
        <w:keepLines w:val="0"/>
        <w:pageBreakBefore w:val="0"/>
        <w:widowControl w:val="0"/>
        <w:kinsoku/>
        <w:wordWrap w:val="0"/>
        <w:overflowPunct/>
        <w:topLinePunct w:val="0"/>
        <w:autoSpaceDE/>
        <w:autoSpaceDN/>
        <w:bidi w:val="0"/>
        <w:adjustRightInd w:val="0"/>
        <w:snapToGrid w:val="0"/>
        <w:spacing w:line="560" w:lineRule="exact"/>
        <w:ind w:firstLine="480" w:firstLineChars="20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登陆国家企业信用信息公示系统https://www.gsxt.gov.cn，输入企业名称点击查询，在查询结果界面提供如下系统查询结果截图，并将截图按如下顺序排版：</w:t>
      </w:r>
    </w:p>
    <w:p>
      <w:pPr>
        <w:pStyle w:val="4"/>
        <w:numPr>
          <w:ilvl w:val="2"/>
          <w:numId w:val="0"/>
        </w:numPr>
        <w:adjustRightInd w:val="0"/>
        <w:snapToGrid w:val="0"/>
        <w:spacing w:line="560" w:lineRule="exact"/>
        <w:ind w:left="400"/>
        <w:rPr>
          <w:rStyle w:val="30"/>
          <w:rFonts w:hint="eastAsia" w:asciiTheme="minorEastAsia" w:hAnsiTheme="minorEastAsia" w:eastAsiaTheme="minorEastAsia" w:cstheme="minorEastAsia"/>
          <w:b w:val="0"/>
          <w:bCs/>
          <w:color w:val="auto"/>
          <w:sz w:val="24"/>
          <w:szCs w:val="24"/>
          <w:highlight w:val="none"/>
          <w:u w:val="none"/>
        </w:rPr>
      </w:pPr>
      <w:r>
        <w:rPr>
          <w:rStyle w:val="30"/>
          <w:rFonts w:hint="eastAsia" w:asciiTheme="minorEastAsia" w:hAnsiTheme="minorEastAsia" w:eastAsiaTheme="minorEastAsia" w:cstheme="minorEastAsia"/>
          <w:b w:val="0"/>
          <w:bCs/>
          <w:color w:val="auto"/>
          <w:sz w:val="24"/>
          <w:szCs w:val="24"/>
          <w:highlight w:val="none"/>
          <w:u w:val="none"/>
        </w:rPr>
        <w:t>1.基本信息查询结果</w:t>
      </w:r>
    </w:p>
    <w:p>
      <w:pPr>
        <w:adjustRightInd w:val="0"/>
        <w:snapToGrid w:val="0"/>
        <w:spacing w:line="560" w:lineRule="exact"/>
        <w:rPr>
          <w:rStyle w:val="30"/>
          <w:rFonts w:hint="eastAsia" w:asciiTheme="minorEastAsia" w:hAnsiTheme="minorEastAsia" w:eastAsiaTheme="minorEastAsia" w:cstheme="minorEastAsia"/>
          <w:b w:val="0"/>
          <w:bCs/>
          <w:color w:val="auto"/>
          <w:sz w:val="24"/>
          <w:szCs w:val="24"/>
          <w:highlight w:val="none"/>
          <w:u w:val="none"/>
        </w:rPr>
      </w:pPr>
    </w:p>
    <w:p>
      <w:pPr>
        <w:pStyle w:val="4"/>
        <w:numPr>
          <w:ilvl w:val="2"/>
          <w:numId w:val="0"/>
        </w:numPr>
        <w:adjustRightInd w:val="0"/>
        <w:snapToGrid w:val="0"/>
        <w:spacing w:line="560" w:lineRule="exact"/>
        <w:ind w:left="400"/>
        <w:rPr>
          <w:rStyle w:val="30"/>
          <w:rFonts w:hint="eastAsia" w:asciiTheme="minorEastAsia" w:hAnsiTheme="minorEastAsia" w:eastAsiaTheme="minorEastAsia" w:cstheme="minorEastAsia"/>
          <w:b w:val="0"/>
          <w:bCs/>
          <w:color w:val="auto"/>
          <w:sz w:val="24"/>
          <w:szCs w:val="24"/>
          <w:highlight w:val="none"/>
          <w:u w:val="none"/>
        </w:rPr>
      </w:pPr>
      <w:r>
        <w:rPr>
          <w:rStyle w:val="30"/>
          <w:rFonts w:hint="eastAsia" w:asciiTheme="minorEastAsia" w:hAnsiTheme="minorEastAsia" w:eastAsiaTheme="minorEastAsia" w:cstheme="minorEastAsia"/>
          <w:b w:val="0"/>
          <w:bCs/>
          <w:color w:val="auto"/>
          <w:sz w:val="24"/>
          <w:szCs w:val="24"/>
          <w:highlight w:val="none"/>
          <w:u w:val="none"/>
        </w:rPr>
        <w:t>2.行政处罚信息查询结果</w:t>
      </w:r>
    </w:p>
    <w:p>
      <w:pPr>
        <w:adjustRightInd w:val="0"/>
        <w:snapToGrid w:val="0"/>
        <w:spacing w:line="560" w:lineRule="exact"/>
        <w:rPr>
          <w:rStyle w:val="30"/>
          <w:rFonts w:hint="eastAsia" w:asciiTheme="minorEastAsia" w:hAnsiTheme="minorEastAsia" w:eastAsiaTheme="minorEastAsia" w:cstheme="minorEastAsia"/>
          <w:b w:val="0"/>
          <w:bCs/>
          <w:color w:val="auto"/>
          <w:sz w:val="24"/>
          <w:szCs w:val="24"/>
          <w:highlight w:val="none"/>
          <w:u w:val="none"/>
        </w:rPr>
      </w:pPr>
    </w:p>
    <w:p>
      <w:pPr>
        <w:pStyle w:val="4"/>
        <w:numPr>
          <w:ilvl w:val="2"/>
          <w:numId w:val="0"/>
        </w:numPr>
        <w:adjustRightInd w:val="0"/>
        <w:snapToGrid w:val="0"/>
        <w:spacing w:line="560" w:lineRule="exact"/>
        <w:ind w:left="400"/>
        <w:rPr>
          <w:rStyle w:val="30"/>
          <w:rFonts w:hint="eastAsia" w:asciiTheme="minorEastAsia" w:hAnsiTheme="minorEastAsia" w:eastAsiaTheme="minorEastAsia" w:cstheme="minorEastAsia"/>
          <w:b w:val="0"/>
          <w:bCs/>
          <w:color w:val="auto"/>
          <w:sz w:val="24"/>
          <w:szCs w:val="24"/>
          <w:highlight w:val="none"/>
          <w:u w:val="none"/>
        </w:rPr>
      </w:pPr>
      <w:r>
        <w:rPr>
          <w:rStyle w:val="30"/>
          <w:rFonts w:hint="eastAsia" w:asciiTheme="minorEastAsia" w:hAnsiTheme="minorEastAsia" w:eastAsiaTheme="minorEastAsia" w:cstheme="minorEastAsia"/>
          <w:b w:val="0"/>
          <w:bCs/>
          <w:color w:val="auto"/>
          <w:sz w:val="24"/>
          <w:szCs w:val="24"/>
          <w:highlight w:val="none"/>
          <w:u w:val="none"/>
        </w:rPr>
        <w:t>3.列入经营异常名录信息查询结果</w:t>
      </w:r>
    </w:p>
    <w:p>
      <w:pPr>
        <w:adjustRightInd w:val="0"/>
        <w:snapToGrid w:val="0"/>
        <w:spacing w:line="560" w:lineRule="exact"/>
        <w:rPr>
          <w:rStyle w:val="30"/>
          <w:rFonts w:hint="eastAsia" w:asciiTheme="minorEastAsia" w:hAnsiTheme="minorEastAsia" w:eastAsiaTheme="minorEastAsia" w:cstheme="minorEastAsia"/>
          <w:b w:val="0"/>
          <w:bCs/>
          <w:color w:val="auto"/>
          <w:sz w:val="24"/>
          <w:szCs w:val="24"/>
          <w:highlight w:val="none"/>
          <w:u w:val="none"/>
        </w:rPr>
      </w:pPr>
    </w:p>
    <w:p>
      <w:pPr>
        <w:pStyle w:val="4"/>
        <w:numPr>
          <w:ilvl w:val="2"/>
          <w:numId w:val="0"/>
        </w:numPr>
        <w:adjustRightInd w:val="0"/>
        <w:snapToGrid w:val="0"/>
        <w:spacing w:line="560" w:lineRule="exact"/>
        <w:ind w:left="400"/>
        <w:rPr>
          <w:rStyle w:val="30"/>
          <w:rFonts w:hint="eastAsia" w:asciiTheme="minorEastAsia" w:hAnsiTheme="minorEastAsia" w:eastAsiaTheme="minorEastAsia" w:cstheme="minorEastAsia"/>
          <w:b w:val="0"/>
          <w:bCs/>
          <w:color w:val="auto"/>
          <w:sz w:val="24"/>
          <w:szCs w:val="24"/>
          <w:highlight w:val="none"/>
          <w:u w:val="none"/>
        </w:rPr>
      </w:pPr>
      <w:r>
        <w:rPr>
          <w:rStyle w:val="30"/>
          <w:rFonts w:hint="eastAsia" w:asciiTheme="minorEastAsia" w:hAnsiTheme="minorEastAsia" w:eastAsiaTheme="minorEastAsia" w:cstheme="minorEastAsia"/>
          <w:b w:val="0"/>
          <w:bCs/>
          <w:color w:val="auto"/>
          <w:sz w:val="24"/>
          <w:szCs w:val="24"/>
          <w:highlight w:val="none"/>
          <w:u w:val="none"/>
        </w:rPr>
        <w:t>4.列入严重违法失信名单（黑名单）信息查询结果</w:t>
      </w:r>
    </w:p>
    <w:p>
      <w:pPr>
        <w:pStyle w:val="8"/>
        <w:adjustRightInd w:val="0"/>
        <w:snapToGrid w:val="0"/>
        <w:spacing w:line="560" w:lineRule="exact"/>
        <w:rPr>
          <w:bCs/>
          <w:color w:val="auto"/>
          <w:highlight w:val="none"/>
        </w:rPr>
      </w:pPr>
    </w:p>
    <w:p>
      <w:pPr>
        <w:pStyle w:val="8"/>
        <w:adjustRightInd w:val="0"/>
        <w:snapToGrid w:val="0"/>
        <w:spacing w:line="560" w:lineRule="exact"/>
        <w:rPr>
          <w:bCs/>
          <w:color w:val="auto"/>
          <w:highlight w:val="none"/>
        </w:rPr>
      </w:pPr>
    </w:p>
    <w:p>
      <w:pPr>
        <w:pStyle w:val="8"/>
        <w:adjustRightInd w:val="0"/>
        <w:snapToGrid w:val="0"/>
        <w:spacing w:line="560" w:lineRule="exact"/>
        <w:rPr>
          <w:bCs/>
          <w:color w:val="auto"/>
          <w:highlight w:val="none"/>
        </w:rPr>
      </w:pPr>
    </w:p>
    <w:p>
      <w:pPr>
        <w:pStyle w:val="8"/>
        <w:adjustRightInd w:val="0"/>
        <w:snapToGrid w:val="0"/>
        <w:spacing w:line="560" w:lineRule="exact"/>
        <w:rPr>
          <w:bCs/>
          <w:color w:val="auto"/>
          <w:highlight w:val="none"/>
        </w:rPr>
      </w:pPr>
    </w:p>
    <w:p>
      <w:pPr>
        <w:rPr>
          <w:rFonts w:hint="eastAsia" w:ascii="黑体" w:hAnsi="黑体" w:eastAsia="黑体" w:cs="黑体"/>
          <w:b w:val="0"/>
          <w:bCs/>
          <w:color w:val="auto"/>
          <w:highlight w:val="none"/>
          <w:lang w:eastAsia="zh-CN"/>
        </w:rPr>
      </w:pPr>
      <w:r>
        <w:rPr>
          <w:rFonts w:hint="eastAsia" w:ascii="黑体" w:hAnsi="黑体" w:eastAsia="黑体" w:cs="黑体"/>
          <w:bCs/>
          <w:color w:val="auto"/>
          <w:sz w:val="32"/>
          <w:highlight w:val="none"/>
        </w:rPr>
        <w:br w:type="page"/>
      </w:r>
    </w:p>
    <w:p>
      <w:pPr>
        <w:pStyle w:val="3"/>
        <w:numPr>
          <w:ilvl w:val="1"/>
          <w:numId w:val="0"/>
        </w:numPr>
        <w:adjustRightInd w:val="0"/>
        <w:snapToGrid w:val="0"/>
        <w:spacing w:before="0" w:after="0" w:line="560" w:lineRule="exact"/>
        <w:jc w:val="center"/>
        <w:rPr>
          <w:rFonts w:ascii="方正小标宋简体" w:hAnsi="方正小标宋简体" w:eastAsia="方正小标宋简体" w:cs="方正小标宋简体"/>
          <w:b w:val="0"/>
          <w:bCs/>
          <w:color w:val="auto"/>
          <w:kern w:val="0"/>
          <w:sz w:val="44"/>
          <w:szCs w:val="28"/>
          <w:highlight w:val="none"/>
        </w:rPr>
      </w:pPr>
    </w:p>
    <w:p>
      <w:pPr>
        <w:pStyle w:val="3"/>
        <w:numPr>
          <w:ilvl w:val="1"/>
          <w:numId w:val="0"/>
        </w:numPr>
        <w:adjustRightInd w:val="0"/>
        <w:snapToGrid w:val="0"/>
        <w:spacing w:before="0" w:after="312" w:afterLines="100" w:line="560" w:lineRule="exact"/>
        <w:jc w:val="center"/>
        <w:rPr>
          <w:rFonts w:hint="default" w:asciiTheme="minorEastAsia" w:hAnsiTheme="minorEastAsia" w:eastAsiaTheme="minorEastAsia" w:cstheme="minorEastAsia"/>
          <w:b/>
          <w:bCs w:val="0"/>
          <w:color w:val="auto"/>
          <w:kern w:val="0"/>
          <w:sz w:val="28"/>
          <w:szCs w:val="28"/>
          <w:highlight w:val="none"/>
          <w:lang w:val="en-US" w:eastAsia="zh-CN"/>
        </w:rPr>
      </w:pPr>
      <w:r>
        <w:rPr>
          <w:rFonts w:hint="eastAsia" w:asciiTheme="minorEastAsia" w:hAnsiTheme="minorEastAsia" w:eastAsiaTheme="minorEastAsia" w:cstheme="minorEastAsia"/>
          <w:b/>
          <w:bCs w:val="0"/>
          <w:color w:val="auto"/>
          <w:kern w:val="0"/>
          <w:sz w:val="28"/>
          <w:szCs w:val="28"/>
          <w:highlight w:val="none"/>
          <w:lang w:val="en-US" w:eastAsia="zh-CN"/>
        </w:rPr>
        <w:t>9、无重大违法记录承诺书</w:t>
      </w:r>
    </w:p>
    <w:p>
      <w:pPr>
        <w:adjustRightInd w:val="0"/>
        <w:snapToGrid w:val="0"/>
        <w:spacing w:line="560" w:lineRule="exact"/>
        <w:rPr>
          <w:rFonts w:ascii="仿宋" w:hAnsi="仿宋" w:eastAsia="仿宋"/>
          <w:bCs/>
          <w:color w:val="auto"/>
          <w:szCs w:val="32"/>
          <w:highlight w:val="none"/>
        </w:rPr>
      </w:pPr>
    </w:p>
    <w:p>
      <w:pPr>
        <w:adjustRightInd w:val="0"/>
        <w:snapToGrid w:val="0"/>
        <w:spacing w:line="560" w:lineRule="exac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lang w:val="en-US" w:eastAsia="zh-CN"/>
        </w:rPr>
        <w:t>市数据资源局</w:t>
      </w:r>
      <w:r>
        <w:rPr>
          <w:rFonts w:hint="eastAsia" w:asciiTheme="minorEastAsia" w:hAnsiTheme="minorEastAsia" w:eastAsiaTheme="minorEastAsia" w:cstheme="minorEastAsia"/>
          <w:bCs/>
          <w:color w:val="auto"/>
          <w:sz w:val="24"/>
          <w:szCs w:val="24"/>
          <w:highlight w:val="none"/>
        </w:rPr>
        <w:t>：</w:t>
      </w:r>
    </w:p>
    <w:p>
      <w:pPr>
        <w:adjustRightInd w:val="0"/>
        <w:snapToGrid w:val="0"/>
        <w:spacing w:line="5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我司及法定代表人近</w:t>
      </w:r>
      <w:r>
        <w:rPr>
          <w:rFonts w:hint="eastAsia" w:asciiTheme="minorEastAsia" w:hAnsiTheme="minorEastAsia" w:eastAsiaTheme="minorEastAsia" w:cstheme="minorEastAsia"/>
          <w:bCs/>
          <w:color w:val="auto"/>
          <w:sz w:val="24"/>
          <w:szCs w:val="24"/>
          <w:highlight w:val="none"/>
          <w:lang w:val="en-US" w:eastAsia="zh-CN"/>
        </w:rPr>
        <w:t>年来</w:t>
      </w:r>
      <w:r>
        <w:rPr>
          <w:rFonts w:hint="eastAsia" w:asciiTheme="minorEastAsia" w:hAnsiTheme="minorEastAsia" w:eastAsiaTheme="minorEastAsia" w:cstheme="minorEastAsia"/>
          <w:bCs/>
          <w:color w:val="auto"/>
          <w:sz w:val="24"/>
          <w:szCs w:val="24"/>
          <w:highlight w:val="none"/>
        </w:rPr>
        <w:t>无任何重大违法记录。</w:t>
      </w:r>
    </w:p>
    <w:p>
      <w:pPr>
        <w:adjustRightInd w:val="0"/>
        <w:snapToGrid w:val="0"/>
        <w:spacing w:line="5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我司及法定代表人未被列入失信被执行人名单、重大税收违法案件当事人名单、严重失信名单。</w:t>
      </w:r>
    </w:p>
    <w:p>
      <w:pPr>
        <w:adjustRightInd w:val="0"/>
        <w:snapToGrid w:val="0"/>
        <w:spacing w:line="560" w:lineRule="exact"/>
        <w:ind w:firstLine="480" w:firstLineChars="200"/>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eastAsia="zh-CN"/>
        </w:rPr>
        <w:t>我</w:t>
      </w:r>
      <w:r>
        <w:rPr>
          <w:rFonts w:hint="eastAsia" w:asciiTheme="minorEastAsia" w:hAnsiTheme="minorEastAsia" w:eastAsiaTheme="minorEastAsia" w:cstheme="minorEastAsia"/>
          <w:bCs/>
          <w:color w:val="auto"/>
          <w:sz w:val="24"/>
          <w:szCs w:val="24"/>
          <w:highlight w:val="none"/>
          <w:lang w:val="en-US" w:eastAsia="zh-CN"/>
        </w:rPr>
        <w:t>司</w:t>
      </w:r>
      <w:r>
        <w:rPr>
          <w:rFonts w:hint="eastAsia" w:asciiTheme="minorEastAsia" w:hAnsiTheme="minorEastAsia" w:eastAsiaTheme="minorEastAsia" w:cstheme="minorEastAsia"/>
          <w:bCs/>
          <w:color w:val="auto"/>
          <w:sz w:val="24"/>
          <w:szCs w:val="24"/>
          <w:highlight w:val="none"/>
        </w:rPr>
        <w:t>对上述书面承诺的真实性负责。如有虚假，将依法承担相应责任</w:t>
      </w:r>
      <w:r>
        <w:rPr>
          <w:rFonts w:hint="eastAsia" w:asciiTheme="minorEastAsia" w:hAnsiTheme="minorEastAsia" w:eastAsiaTheme="minorEastAsia" w:cstheme="minorEastAsia"/>
          <w:bCs/>
          <w:color w:val="auto"/>
          <w:sz w:val="24"/>
          <w:szCs w:val="24"/>
          <w:highlight w:val="none"/>
          <w:lang w:eastAsia="zh-CN"/>
        </w:rPr>
        <w:t>。</w:t>
      </w:r>
    </w:p>
    <w:p>
      <w:pPr>
        <w:adjustRightInd w:val="0"/>
        <w:snapToGrid w:val="0"/>
        <w:spacing w:line="560" w:lineRule="exact"/>
        <w:ind w:firstLine="480" w:firstLineChars="200"/>
        <w:rPr>
          <w:rFonts w:hint="eastAsia" w:asciiTheme="minorEastAsia" w:hAnsiTheme="minorEastAsia" w:eastAsiaTheme="minorEastAsia" w:cstheme="minorEastAsia"/>
          <w:bCs/>
          <w:color w:val="auto"/>
          <w:sz w:val="24"/>
          <w:szCs w:val="24"/>
          <w:highlight w:val="none"/>
        </w:rPr>
      </w:pPr>
    </w:p>
    <w:p>
      <w:pPr>
        <w:adjustRightInd w:val="0"/>
        <w:snapToGrid w:val="0"/>
        <w:spacing w:line="560" w:lineRule="exact"/>
        <w:ind w:firstLine="480" w:firstLineChars="200"/>
        <w:rPr>
          <w:rFonts w:hint="eastAsia" w:asciiTheme="minorEastAsia" w:hAnsiTheme="minorEastAsia" w:eastAsiaTheme="minorEastAsia" w:cstheme="minorEastAsia"/>
          <w:bCs/>
          <w:color w:val="auto"/>
          <w:sz w:val="24"/>
          <w:szCs w:val="24"/>
          <w:highlight w:val="none"/>
        </w:rPr>
      </w:pPr>
    </w:p>
    <w:p>
      <w:pPr>
        <w:adjustRightInd w:val="0"/>
        <w:snapToGrid w:val="0"/>
        <w:spacing w:line="560" w:lineRule="exact"/>
        <w:ind w:firstLine="480" w:firstLineChars="200"/>
        <w:jc w:val="right"/>
        <w:rPr>
          <w:rFonts w:hint="eastAsia" w:asciiTheme="minorEastAsia" w:hAnsiTheme="minorEastAsia" w:eastAsiaTheme="minorEastAsia" w:cstheme="minorEastAsia"/>
          <w:bCs/>
          <w:color w:val="auto"/>
          <w:sz w:val="24"/>
          <w:szCs w:val="24"/>
          <w:highlight w:val="none"/>
        </w:rPr>
      </w:pPr>
    </w:p>
    <w:p>
      <w:pPr>
        <w:wordWrap w:val="0"/>
        <w:adjustRightInd w:val="0"/>
        <w:snapToGrid w:val="0"/>
        <w:spacing w:line="560" w:lineRule="exact"/>
        <w:ind w:left="3360" w:leftChars="200" w:hanging="2880" w:hangingChars="1200"/>
        <w:jc w:val="righ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 xml:space="preserve">单位名称（盖章）：             </w:t>
      </w:r>
    </w:p>
    <w:p>
      <w:pPr>
        <w:wordWrap w:val="0"/>
        <w:adjustRightInd w:val="0"/>
        <w:snapToGrid w:val="0"/>
        <w:spacing w:line="560" w:lineRule="exact"/>
        <w:ind w:left="3360" w:leftChars="200" w:hanging="2880" w:hangingChars="1200"/>
        <w:jc w:val="righ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 xml:space="preserve">法定代表人（签字）:              </w:t>
      </w:r>
    </w:p>
    <w:p>
      <w:pPr>
        <w:wordWrap w:val="0"/>
        <w:adjustRightInd w:val="0"/>
        <w:snapToGrid w:val="0"/>
        <w:spacing w:line="560" w:lineRule="exact"/>
        <w:ind w:left="3360" w:leftChars="200" w:hanging="2880" w:hangingChars="1200"/>
        <w:jc w:val="righ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日期：   年  月  日</w:t>
      </w:r>
    </w:p>
    <w:p>
      <w:pPr>
        <w:wordWrap w:val="0"/>
        <w:adjustRightInd w:val="0"/>
        <w:snapToGrid w:val="0"/>
        <w:spacing w:line="560" w:lineRule="exact"/>
        <w:ind w:left="3360" w:leftChars="200" w:hanging="2880" w:hangingChars="1200"/>
        <w:jc w:val="right"/>
        <w:rPr>
          <w:rFonts w:hint="eastAsia" w:asciiTheme="minorEastAsia" w:hAnsiTheme="minorEastAsia" w:eastAsiaTheme="minorEastAsia" w:cstheme="minorEastAsia"/>
          <w:bCs/>
          <w:color w:val="auto"/>
          <w:sz w:val="24"/>
          <w:szCs w:val="24"/>
          <w:highlight w:val="none"/>
        </w:rPr>
      </w:pPr>
    </w:p>
    <w:p>
      <w:pPr>
        <w:adjustRightInd w:val="0"/>
        <w:snapToGrid w:val="0"/>
        <w:spacing w:line="560" w:lineRule="exact"/>
        <w:rPr>
          <w:rFonts w:hint="eastAsia" w:asciiTheme="minorEastAsia" w:hAnsiTheme="minorEastAsia" w:eastAsiaTheme="minorEastAsia" w:cstheme="minorEastAsia"/>
          <w:bCs/>
          <w:color w:val="auto"/>
          <w:sz w:val="24"/>
          <w:szCs w:val="24"/>
          <w:highlight w:val="none"/>
        </w:rPr>
      </w:pPr>
    </w:p>
    <w:p>
      <w:pPr>
        <w:pStyle w:val="8"/>
        <w:adjustRightInd w:val="0"/>
        <w:snapToGrid w:val="0"/>
        <w:spacing w:line="560" w:lineRule="exact"/>
        <w:rPr>
          <w:bCs/>
          <w:color w:val="auto"/>
          <w:highlight w:val="none"/>
        </w:rPr>
      </w:pPr>
    </w:p>
    <w:p>
      <w:pPr>
        <w:pStyle w:val="8"/>
        <w:adjustRightInd w:val="0"/>
        <w:snapToGrid w:val="0"/>
        <w:spacing w:line="560" w:lineRule="exact"/>
        <w:rPr>
          <w:bCs/>
          <w:color w:val="auto"/>
          <w:highlight w:val="none"/>
        </w:rPr>
      </w:pPr>
    </w:p>
    <w:p>
      <w:pPr>
        <w:pStyle w:val="8"/>
        <w:adjustRightInd w:val="0"/>
        <w:snapToGrid w:val="0"/>
        <w:spacing w:line="560" w:lineRule="exact"/>
        <w:rPr>
          <w:bCs/>
          <w:color w:val="auto"/>
          <w:highlight w:val="none"/>
        </w:rPr>
      </w:pPr>
    </w:p>
    <w:p>
      <w:pPr>
        <w:pStyle w:val="8"/>
        <w:adjustRightInd w:val="0"/>
        <w:snapToGrid w:val="0"/>
        <w:spacing w:line="560" w:lineRule="exact"/>
        <w:rPr>
          <w:bCs/>
          <w:color w:val="auto"/>
          <w:highlight w:val="none"/>
        </w:rPr>
      </w:pPr>
    </w:p>
    <w:p>
      <w:pPr>
        <w:pStyle w:val="3"/>
        <w:numPr>
          <w:ilvl w:val="1"/>
          <w:numId w:val="0"/>
        </w:numPr>
        <w:adjustRightInd w:val="0"/>
        <w:snapToGrid w:val="0"/>
        <w:spacing w:before="0" w:after="312" w:afterLines="100" w:line="560" w:lineRule="exact"/>
        <w:jc w:val="center"/>
        <w:rPr>
          <w:rFonts w:ascii="方正小标宋简体" w:hAnsi="方正小标宋简体" w:eastAsia="方正小标宋简体" w:cs="方正小标宋简体"/>
          <w:b w:val="0"/>
          <w:bCs/>
          <w:color w:val="auto"/>
          <w:kern w:val="0"/>
          <w:sz w:val="44"/>
          <w:szCs w:val="28"/>
          <w:highlight w:val="none"/>
        </w:rPr>
      </w:pPr>
      <w:r>
        <w:rPr>
          <w:rFonts w:hint="eastAsia" w:ascii="黑体" w:hAnsi="黑体" w:cs="黑体"/>
          <w:b w:val="0"/>
          <w:bCs/>
          <w:color w:val="auto"/>
          <w:highlight w:val="none"/>
        </w:rPr>
        <w:br w:type="page"/>
      </w:r>
      <w:r>
        <w:rPr>
          <w:rFonts w:hint="eastAsia" w:asciiTheme="minorEastAsia" w:hAnsiTheme="minorEastAsia" w:eastAsiaTheme="minorEastAsia" w:cstheme="minorEastAsia"/>
          <w:b/>
          <w:bCs w:val="0"/>
          <w:color w:val="auto"/>
          <w:kern w:val="0"/>
          <w:sz w:val="28"/>
          <w:szCs w:val="28"/>
          <w:highlight w:val="none"/>
          <w:lang w:val="en-US" w:eastAsia="zh-CN"/>
        </w:rPr>
        <w:t>10、一般纳税人证明</w:t>
      </w:r>
    </w:p>
    <w:p>
      <w:pPr>
        <w:adjustRightInd w:val="0"/>
        <w:snapToGrid w:val="0"/>
        <w:spacing w:line="560" w:lineRule="exact"/>
        <w:rPr>
          <w:rFonts w:ascii="仿宋_GB2312" w:hAnsi="仿宋_GB2312" w:cs="仿宋_GB2312"/>
          <w:bCs/>
          <w:color w:val="auto"/>
          <w:szCs w:val="32"/>
          <w:highlight w:val="none"/>
        </w:rPr>
      </w:pPr>
    </w:p>
    <w:p>
      <w:pPr>
        <w:adjustRightInd w:val="0"/>
        <w:snapToGrid w:val="0"/>
        <w:spacing w:line="560" w:lineRule="exact"/>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提供税务机关官网一般纳税人资格查询结果截图或税务机关出具的有效证明材料或近半年开具过的增值税发票。</w:t>
      </w:r>
    </w:p>
    <w:p>
      <w:pPr>
        <w:adjustRightInd w:val="0"/>
        <w:snapToGrid w:val="0"/>
        <w:spacing w:line="560" w:lineRule="exact"/>
        <w:ind w:firstLine="480" w:firstLineChars="200"/>
        <w:rPr>
          <w:rFonts w:hint="eastAsia" w:asciiTheme="minorEastAsia" w:hAnsiTheme="minorEastAsia" w:eastAsiaTheme="minorEastAsia" w:cstheme="minorEastAsia"/>
          <w:bCs/>
          <w:color w:val="auto"/>
          <w:sz w:val="24"/>
          <w:szCs w:val="24"/>
          <w:highlight w:val="none"/>
        </w:rPr>
      </w:pPr>
    </w:p>
    <w:p>
      <w:pPr>
        <w:rPr>
          <w:rFonts w:hint="eastAsia" w:asciiTheme="minorEastAsia" w:hAnsiTheme="minorEastAsia" w:eastAsiaTheme="minorEastAsia" w:cstheme="minorEastAsia"/>
          <w:color w:val="auto"/>
          <w:sz w:val="24"/>
          <w:szCs w:val="24"/>
          <w:highlight w:val="none"/>
        </w:rPr>
      </w:pPr>
    </w:p>
    <w:p>
      <w:pPr>
        <w:rPr>
          <w:rFonts w:hint="eastAsia" w:asciiTheme="minorEastAsia" w:hAnsiTheme="minorEastAsia" w:eastAsiaTheme="minorEastAsia" w:cstheme="minorEastAsia"/>
          <w:bCs/>
          <w:color w:val="auto"/>
          <w:sz w:val="24"/>
          <w:szCs w:val="24"/>
          <w:highlight w:val="none"/>
        </w:rPr>
      </w:pPr>
    </w:p>
    <w:p>
      <w:pPr>
        <w:rPr>
          <w:rFonts w:hint="eastAsia" w:ascii="Times New Roman" w:hAnsi="Times New Roman" w:eastAsia="仿宋"/>
          <w:bCs/>
          <w:color w:val="auto"/>
          <w:sz w:val="32"/>
          <w:szCs w:val="32"/>
          <w:highlight w:val="none"/>
        </w:rPr>
      </w:pPr>
    </w:p>
    <w:p>
      <w:pPr>
        <w:rPr>
          <w:rFonts w:hint="eastAsia" w:ascii="Times New Roman" w:hAnsi="Times New Roman" w:eastAsia="仿宋"/>
          <w:bCs/>
          <w:color w:val="auto"/>
          <w:sz w:val="32"/>
          <w:szCs w:val="32"/>
          <w:highlight w:val="none"/>
        </w:rPr>
      </w:pPr>
    </w:p>
    <w:p>
      <w:pPr>
        <w:rPr>
          <w:rFonts w:hint="eastAsia" w:ascii="Times New Roman" w:hAnsi="Times New Roman" w:eastAsia="仿宋"/>
          <w:bCs/>
          <w:color w:val="auto"/>
          <w:sz w:val="32"/>
          <w:szCs w:val="32"/>
          <w:highlight w:val="none"/>
        </w:rPr>
      </w:pPr>
    </w:p>
    <w:p>
      <w:pPr>
        <w:rPr>
          <w:rFonts w:hint="eastAsia" w:ascii="Times New Roman" w:hAnsi="Times New Roman" w:eastAsia="仿宋"/>
          <w:bCs/>
          <w:color w:val="auto"/>
          <w:sz w:val="32"/>
          <w:szCs w:val="32"/>
          <w:highlight w:val="none"/>
        </w:rPr>
      </w:pPr>
      <w:r>
        <w:rPr>
          <w:rFonts w:hint="eastAsia" w:ascii="Times New Roman" w:hAnsi="Times New Roman" w:eastAsia="仿宋"/>
          <w:bCs/>
          <w:color w:val="auto"/>
          <w:sz w:val="32"/>
          <w:szCs w:val="32"/>
          <w:highlight w:val="none"/>
        </w:rPr>
        <w:br w:type="page"/>
      </w:r>
    </w:p>
    <w:p>
      <w:pPr>
        <w:rPr>
          <w:rFonts w:hint="eastAsia" w:ascii="Times New Roman" w:hAnsi="Times New Roman" w:eastAsia="仿宋"/>
          <w:bCs/>
          <w:color w:val="auto"/>
          <w:sz w:val="32"/>
          <w:szCs w:val="32"/>
          <w:highlight w:val="none"/>
        </w:rPr>
      </w:pPr>
    </w:p>
    <w:p>
      <w:pPr>
        <w:pStyle w:val="3"/>
        <w:numPr>
          <w:ilvl w:val="1"/>
          <w:numId w:val="0"/>
        </w:numPr>
        <w:adjustRightInd w:val="0"/>
        <w:snapToGrid w:val="0"/>
        <w:spacing w:before="0" w:after="312" w:afterLines="100" w:line="560" w:lineRule="exact"/>
        <w:jc w:val="both"/>
        <w:rPr>
          <w:rFonts w:hint="eastAsia" w:asciiTheme="minorEastAsia" w:hAnsiTheme="minorEastAsia" w:eastAsiaTheme="minorEastAsia" w:cstheme="minorEastAsia"/>
          <w:b/>
          <w:bCs w:val="0"/>
          <w:color w:val="auto"/>
          <w:kern w:val="0"/>
          <w:sz w:val="28"/>
          <w:szCs w:val="28"/>
          <w:highlight w:val="none"/>
          <w:lang w:val="en-US" w:eastAsia="zh-CN"/>
        </w:rPr>
      </w:pPr>
    </w:p>
    <w:p>
      <w:pPr>
        <w:pStyle w:val="3"/>
        <w:numPr>
          <w:ilvl w:val="1"/>
          <w:numId w:val="0"/>
        </w:numPr>
        <w:adjustRightInd w:val="0"/>
        <w:snapToGrid w:val="0"/>
        <w:spacing w:before="0" w:after="312" w:afterLines="100" w:line="560" w:lineRule="exact"/>
        <w:jc w:val="center"/>
        <w:rPr>
          <w:rFonts w:hint="eastAsia" w:asciiTheme="minorEastAsia" w:hAnsiTheme="minorEastAsia" w:eastAsiaTheme="minorEastAsia" w:cstheme="minorEastAsia"/>
          <w:b/>
          <w:bCs w:val="0"/>
          <w:color w:val="auto"/>
          <w:kern w:val="0"/>
          <w:sz w:val="28"/>
          <w:szCs w:val="28"/>
          <w:highlight w:val="none"/>
          <w:lang w:val="en-US" w:eastAsia="zh-CN"/>
        </w:rPr>
      </w:pPr>
      <w:r>
        <w:rPr>
          <w:rFonts w:hint="eastAsia" w:asciiTheme="minorEastAsia" w:hAnsiTheme="minorEastAsia" w:eastAsiaTheme="minorEastAsia" w:cstheme="minorEastAsia"/>
          <w:b/>
          <w:bCs w:val="0"/>
          <w:color w:val="auto"/>
          <w:kern w:val="0"/>
          <w:sz w:val="28"/>
          <w:szCs w:val="28"/>
          <w:highlight w:val="none"/>
          <w:lang w:val="en-US" w:eastAsia="zh-CN"/>
        </w:rPr>
        <w:t>11、近一年第三方审计报告</w:t>
      </w:r>
    </w:p>
    <w:p>
      <w:pPr>
        <w:adjustRightInd w:val="0"/>
        <w:snapToGrid w:val="0"/>
        <w:spacing w:line="560" w:lineRule="exact"/>
        <w:rPr>
          <w:bCs/>
          <w:color w:val="auto"/>
          <w:highlight w:val="none"/>
        </w:rPr>
      </w:pPr>
    </w:p>
    <w:p>
      <w:pPr>
        <w:rPr>
          <w:rFonts w:ascii="楷体" w:hAnsi="楷体" w:eastAsia="楷体"/>
          <w:bCs/>
          <w:color w:val="auto"/>
          <w:highlight w:val="none"/>
        </w:rPr>
      </w:pPr>
      <w:r>
        <w:rPr>
          <w:rFonts w:hint="eastAsia" w:ascii="楷体" w:hAnsi="楷体" w:eastAsia="楷体"/>
          <w:bCs/>
          <w:color w:val="auto"/>
          <w:highlight w:val="none"/>
        </w:rPr>
        <w:br w:type="page"/>
      </w:r>
    </w:p>
    <w:p>
      <w:pPr>
        <w:pStyle w:val="3"/>
        <w:numPr>
          <w:ilvl w:val="1"/>
          <w:numId w:val="0"/>
        </w:numPr>
        <w:adjustRightInd w:val="0"/>
        <w:snapToGrid w:val="0"/>
        <w:spacing w:before="0" w:after="312" w:afterLines="100" w:line="560" w:lineRule="exact"/>
        <w:jc w:val="center"/>
        <w:rPr>
          <w:rFonts w:hint="eastAsia" w:asciiTheme="minorEastAsia" w:hAnsiTheme="minorEastAsia" w:eastAsiaTheme="minorEastAsia" w:cstheme="minorEastAsia"/>
          <w:b/>
          <w:bCs w:val="0"/>
          <w:color w:val="auto"/>
          <w:kern w:val="0"/>
          <w:sz w:val="28"/>
          <w:szCs w:val="28"/>
          <w:highlight w:val="none"/>
          <w:lang w:val="en-US" w:eastAsia="zh-CN"/>
        </w:rPr>
      </w:pPr>
    </w:p>
    <w:p>
      <w:pPr>
        <w:pStyle w:val="3"/>
        <w:numPr>
          <w:ilvl w:val="1"/>
          <w:numId w:val="0"/>
        </w:numPr>
        <w:adjustRightInd w:val="0"/>
        <w:snapToGrid w:val="0"/>
        <w:spacing w:before="0" w:after="312" w:afterLines="100" w:line="560" w:lineRule="exact"/>
        <w:jc w:val="center"/>
        <w:rPr>
          <w:rFonts w:hint="eastAsia" w:asciiTheme="minorEastAsia" w:hAnsiTheme="minorEastAsia" w:eastAsiaTheme="minorEastAsia" w:cstheme="minorEastAsia"/>
          <w:b/>
          <w:bCs w:val="0"/>
          <w:color w:val="auto"/>
          <w:kern w:val="0"/>
          <w:sz w:val="28"/>
          <w:szCs w:val="28"/>
          <w:highlight w:val="none"/>
          <w:lang w:val="en-US" w:eastAsia="zh-CN"/>
        </w:rPr>
      </w:pPr>
      <w:r>
        <w:rPr>
          <w:rFonts w:hint="eastAsia" w:asciiTheme="minorEastAsia" w:hAnsiTheme="minorEastAsia" w:eastAsiaTheme="minorEastAsia" w:cstheme="minorEastAsia"/>
          <w:b/>
          <w:bCs w:val="0"/>
          <w:color w:val="auto"/>
          <w:kern w:val="0"/>
          <w:sz w:val="28"/>
          <w:szCs w:val="28"/>
          <w:highlight w:val="none"/>
          <w:lang w:val="en-US" w:eastAsia="zh-CN"/>
        </w:rPr>
        <w:t>12、近一年第三方财务会计报告</w:t>
      </w:r>
    </w:p>
    <w:p>
      <w:pPr>
        <w:rPr>
          <w:rFonts w:hint="eastAsia"/>
          <w:color w:val="auto"/>
          <w:highlight w:val="none"/>
          <w:lang w:val="en-US" w:eastAsia="zh-CN"/>
        </w:rPr>
      </w:pPr>
      <w:r>
        <w:rPr>
          <w:rFonts w:hint="eastAsia"/>
          <w:color w:val="auto"/>
          <w:highlight w:val="none"/>
          <w:lang w:val="en-US" w:eastAsia="zh-CN"/>
        </w:rPr>
        <w:br w:type="page"/>
      </w:r>
    </w:p>
    <w:p>
      <w:pPr>
        <w:pStyle w:val="3"/>
        <w:numPr>
          <w:ilvl w:val="1"/>
          <w:numId w:val="0"/>
        </w:numPr>
        <w:adjustRightInd w:val="0"/>
        <w:snapToGrid w:val="0"/>
        <w:spacing w:before="0" w:after="312" w:afterLines="100" w:line="560" w:lineRule="exact"/>
        <w:jc w:val="center"/>
        <w:rPr>
          <w:rFonts w:hint="eastAsia" w:asciiTheme="minorEastAsia" w:hAnsiTheme="minorEastAsia" w:eastAsiaTheme="minorEastAsia" w:cstheme="minorEastAsia"/>
          <w:b/>
          <w:bCs w:val="0"/>
          <w:color w:val="auto"/>
          <w:kern w:val="0"/>
          <w:sz w:val="28"/>
          <w:szCs w:val="28"/>
          <w:highlight w:val="none"/>
          <w:lang w:val="en-US" w:eastAsia="zh-CN"/>
        </w:rPr>
      </w:pPr>
      <w:r>
        <w:rPr>
          <w:rFonts w:hint="eastAsia" w:asciiTheme="minorEastAsia" w:hAnsiTheme="minorEastAsia" w:eastAsiaTheme="minorEastAsia" w:cstheme="minorEastAsia"/>
          <w:b/>
          <w:bCs w:val="0"/>
          <w:color w:val="auto"/>
          <w:kern w:val="0"/>
          <w:sz w:val="28"/>
          <w:szCs w:val="28"/>
          <w:highlight w:val="none"/>
          <w:lang w:val="en-US" w:eastAsia="zh-CN"/>
        </w:rPr>
        <w:t>13、投标人实力</w:t>
      </w:r>
    </w:p>
    <w:p>
      <w:pPr>
        <w:rPr>
          <w:rFonts w:hint="eastAsia"/>
          <w:color w:val="auto"/>
          <w:highlight w:val="none"/>
          <w:lang w:val="en-US" w:eastAsia="zh-CN"/>
        </w:rPr>
      </w:pPr>
    </w:p>
    <w:p>
      <w:pPr>
        <w:jc w:val="center"/>
        <w:rPr>
          <w:rFonts w:hint="eastAsia" w:asciiTheme="minorEastAsia" w:hAnsiTheme="minorEastAsia" w:eastAsiaTheme="minorEastAsia" w:cstheme="minorEastAsia"/>
          <w:b/>
          <w:bCs w:val="0"/>
          <w:color w:val="auto"/>
          <w:kern w:val="0"/>
          <w:sz w:val="28"/>
          <w:szCs w:val="28"/>
          <w:highlight w:val="none"/>
          <w:lang w:val="en-US" w:eastAsia="zh-CN"/>
        </w:rPr>
      </w:pPr>
      <w:r>
        <w:rPr>
          <w:rFonts w:hint="eastAsia" w:asciiTheme="minorEastAsia" w:hAnsiTheme="minorEastAsia" w:eastAsiaTheme="minorEastAsia" w:cstheme="minorEastAsia"/>
          <w:b/>
          <w:bCs w:val="0"/>
          <w:color w:val="auto"/>
          <w:kern w:val="0"/>
          <w:sz w:val="28"/>
          <w:szCs w:val="28"/>
          <w:highlight w:val="none"/>
          <w:lang w:val="en-US" w:eastAsia="zh-CN"/>
        </w:rPr>
        <w:t>（详见</w:t>
      </w:r>
      <w:r>
        <w:rPr>
          <w:rFonts w:hint="eastAsia" w:ascii="宋体" w:hAnsi="宋体" w:eastAsia="宋体"/>
          <w:b/>
          <w:color w:val="auto"/>
          <w:sz w:val="28"/>
          <w:highlight w:val="none"/>
          <w:lang w:eastAsia="zh-CN"/>
        </w:rPr>
        <w:t>评标方法和标准</w:t>
      </w:r>
      <w:r>
        <w:rPr>
          <w:rFonts w:hint="eastAsia" w:asciiTheme="minorEastAsia" w:hAnsiTheme="minorEastAsia" w:eastAsiaTheme="minorEastAsia" w:cstheme="minorEastAsia"/>
          <w:b/>
          <w:bCs w:val="0"/>
          <w:color w:val="auto"/>
          <w:kern w:val="0"/>
          <w:sz w:val="28"/>
          <w:szCs w:val="28"/>
          <w:highlight w:val="none"/>
          <w:lang w:val="en-US" w:eastAsia="zh-CN"/>
        </w:rPr>
        <w:t>按要求提供证明材料）</w:t>
      </w:r>
    </w:p>
    <w:p>
      <w:pPr>
        <w:rPr>
          <w:rFonts w:hint="eastAsia" w:asciiTheme="minorEastAsia" w:hAnsiTheme="minorEastAsia" w:eastAsiaTheme="minorEastAsia" w:cstheme="minorEastAsia"/>
          <w:b/>
          <w:bCs w:val="0"/>
          <w:color w:val="auto"/>
          <w:kern w:val="0"/>
          <w:sz w:val="28"/>
          <w:szCs w:val="28"/>
          <w:highlight w:val="none"/>
          <w:lang w:val="en-US" w:eastAsia="zh-CN"/>
        </w:rPr>
      </w:pPr>
      <w:r>
        <w:rPr>
          <w:rFonts w:hint="eastAsia" w:asciiTheme="minorEastAsia" w:hAnsiTheme="minorEastAsia" w:eastAsiaTheme="minorEastAsia" w:cstheme="minorEastAsia"/>
          <w:b/>
          <w:bCs w:val="0"/>
          <w:color w:val="auto"/>
          <w:kern w:val="0"/>
          <w:sz w:val="28"/>
          <w:szCs w:val="28"/>
          <w:highlight w:val="none"/>
          <w:lang w:val="en-US" w:eastAsia="zh-CN"/>
        </w:rPr>
        <w:br w:type="page"/>
      </w:r>
    </w:p>
    <w:p>
      <w:pPr>
        <w:pStyle w:val="3"/>
        <w:numPr>
          <w:ilvl w:val="1"/>
          <w:numId w:val="0"/>
        </w:numPr>
        <w:adjustRightInd w:val="0"/>
        <w:snapToGrid w:val="0"/>
        <w:spacing w:before="0" w:after="312" w:afterLines="100" w:line="560" w:lineRule="exact"/>
        <w:jc w:val="both"/>
        <w:rPr>
          <w:rFonts w:hint="eastAsia" w:asciiTheme="minorEastAsia" w:hAnsiTheme="minorEastAsia" w:eastAsiaTheme="minorEastAsia" w:cstheme="minorEastAsia"/>
          <w:b/>
          <w:bCs w:val="0"/>
          <w:color w:val="auto"/>
          <w:kern w:val="0"/>
          <w:sz w:val="28"/>
          <w:szCs w:val="28"/>
          <w:highlight w:val="none"/>
          <w:lang w:val="en-US" w:eastAsia="zh-CN"/>
        </w:rPr>
      </w:pPr>
    </w:p>
    <w:p>
      <w:pPr>
        <w:pStyle w:val="3"/>
        <w:numPr>
          <w:ilvl w:val="1"/>
          <w:numId w:val="0"/>
        </w:numPr>
        <w:adjustRightInd w:val="0"/>
        <w:snapToGrid w:val="0"/>
        <w:spacing w:before="0" w:after="312" w:afterLines="100" w:line="560" w:lineRule="exact"/>
        <w:jc w:val="center"/>
        <w:rPr>
          <w:rFonts w:hint="default" w:asciiTheme="minorEastAsia" w:hAnsiTheme="minorEastAsia" w:eastAsiaTheme="minorEastAsia" w:cstheme="minorEastAsia"/>
          <w:b/>
          <w:bCs w:val="0"/>
          <w:color w:val="auto"/>
          <w:kern w:val="0"/>
          <w:sz w:val="28"/>
          <w:szCs w:val="28"/>
          <w:highlight w:val="none"/>
          <w:lang w:val="en-US" w:eastAsia="zh-CN"/>
        </w:rPr>
      </w:pPr>
      <w:r>
        <w:rPr>
          <w:rFonts w:hint="eastAsia" w:asciiTheme="minorEastAsia" w:hAnsiTheme="minorEastAsia" w:eastAsiaTheme="minorEastAsia" w:cstheme="minorEastAsia"/>
          <w:b/>
          <w:bCs w:val="0"/>
          <w:color w:val="auto"/>
          <w:kern w:val="0"/>
          <w:sz w:val="28"/>
          <w:szCs w:val="28"/>
          <w:highlight w:val="none"/>
          <w:lang w:val="en-US" w:eastAsia="zh-CN"/>
        </w:rPr>
        <w:t>14、其他需要提供的证明材料</w:t>
      </w:r>
    </w:p>
    <w:bookmarkEnd w:id="31"/>
    <w:bookmarkEnd w:id="32"/>
    <w:p>
      <w:pPr>
        <w:rPr>
          <w:rFonts w:hint="eastAsia" w:ascii="宋体" w:hAnsi="宋体" w:eastAsia="宋体"/>
          <w:color w:val="auto"/>
          <w:highlight w:val="none"/>
          <w:lang w:eastAsia="zh-CN"/>
        </w:rPr>
      </w:pPr>
    </w:p>
    <w:sectPr>
      <w:headerReference r:id="rId6" w:type="default"/>
      <w:footerReference r:id="rId7" w:type="default"/>
      <w:pgSz w:w="11910" w:h="16840"/>
      <w:pgMar w:top="1440" w:right="1800" w:bottom="1440" w:left="1800" w:header="879" w:footer="868"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40B4B52-8F64-4BE8-BEBB-DEA16BBBAD85}"/>
  </w:font>
  <w:font w:name="黑体">
    <w:panose1 w:val="02010609060101010101"/>
    <w:charset w:val="86"/>
    <w:family w:val="auto"/>
    <w:pitch w:val="default"/>
    <w:sig w:usb0="800002BF" w:usb1="38CF7CFA" w:usb2="00000016" w:usb3="00000000" w:csb0="00040001" w:csb1="00000000"/>
    <w:embedRegular r:id="rId2" w:fontKey="{47DA2631-40AB-4F35-A77C-C2E43E1F7E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3" w:fontKey="{503DC04F-6631-443D-978E-27B21FE71B3C}"/>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embedRegular r:id="rId4" w:fontKey="{7CA49C0F-7AEF-4045-AB01-37C3F543F467}"/>
  </w:font>
  <w:font w:name="楷体_GB2312">
    <w:panose1 w:val="02010609030101010101"/>
    <w:charset w:val="86"/>
    <w:family w:val="auto"/>
    <w:pitch w:val="default"/>
    <w:sig w:usb0="00000001" w:usb1="080E0000" w:usb2="00000000" w:usb3="00000000" w:csb0="00040000" w:csb1="00000000"/>
    <w:embedRegular r:id="rId5" w:fontKey="{473E56CA-1D0E-466C-819B-C27B4B3B6EC2}"/>
  </w:font>
  <w:font w:name="仿宋">
    <w:panose1 w:val="02010609060101010101"/>
    <w:charset w:val="86"/>
    <w:family w:val="modern"/>
    <w:pitch w:val="default"/>
    <w:sig w:usb0="800002BF" w:usb1="38CF7CFA" w:usb2="00000016" w:usb3="00000000" w:csb0="00040001" w:csb1="00000000"/>
    <w:embedRegular r:id="rId6" w:fontKey="{91611FF0-2144-4B63-A543-AB39E289B7E5}"/>
  </w:font>
  <w:font w:name="@仿宋_GB2312">
    <w:panose1 w:val="02010609030101010101"/>
    <w:charset w:val="86"/>
    <w:family w:val="auto"/>
    <w:pitch w:val="default"/>
    <w:sig w:usb0="00000001" w:usb1="080E0000" w:usb2="00000000" w:usb3="00000000" w:csb0="00040000" w:csb1="00000000"/>
    <w:embedRegular r:id="rId7" w:fontKey="{5A00DDDF-31CB-4C38-B23D-A800AE7C481A}"/>
  </w:font>
  <w:font w:name="@微软简标宋">
    <w:altName w:val="@宋体"/>
    <w:panose1 w:val="00000000000000000000"/>
    <w:charset w:val="86"/>
    <w:family w:val="auto"/>
    <w:pitch w:val="default"/>
    <w:sig w:usb0="00000000" w:usb1="00000000" w:usb2="00000010" w:usb3="00000000" w:csb0="00040000" w:csb1="00000000"/>
    <w:embedRegular r:id="rId8" w:fontKey="{72B45491-2837-4D08-8F14-CBE4BBAB40FF}"/>
  </w:font>
  <w:font w:name="方正小标宋简体">
    <w:panose1 w:val="02000000000000000000"/>
    <w:charset w:val="86"/>
    <w:family w:val="auto"/>
    <w:pitch w:val="default"/>
    <w:sig w:usb0="00000001" w:usb1="08000000" w:usb2="00000000" w:usb3="00000000" w:csb0="00040000" w:csb1="00000000"/>
    <w:embedRegular r:id="rId9" w:fontKey="{3359264E-8A73-48DA-943F-9B23BF849AA9}"/>
  </w:font>
  <w:font w:name="楷体">
    <w:panose1 w:val="02010609060101010101"/>
    <w:charset w:val="86"/>
    <w:family w:val="auto"/>
    <w:pitch w:val="default"/>
    <w:sig w:usb0="800002BF" w:usb1="38CF7CFA" w:usb2="00000016" w:usb3="00000000" w:csb0="00040001" w:csb1="00000000"/>
    <w:embedRegular r:id="rId10" w:fontKey="{12E8000E-6A3E-4A62-BB57-D9954FDDE025}"/>
  </w:font>
  <w:font w:name="@宋体">
    <w:panose1 w:val="02010600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hint="eastAsia" w:ascii="宋体" w:hAnsi="宋体" w:eastAsia="宋体"/>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60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5873F8"/>
    <w:multiLevelType w:val="singleLevel"/>
    <w:tmpl w:val="D45873F8"/>
    <w:lvl w:ilvl="0" w:tentative="0">
      <w:start w:val="1"/>
      <w:numFmt w:val="decimal"/>
      <w:suff w:val="nothing"/>
      <w:lvlText w:val="（%1）"/>
      <w:lvlJc w:val="left"/>
    </w:lvl>
  </w:abstractNum>
  <w:abstractNum w:abstractNumId="1">
    <w:nsid w:val="DB75F1CF"/>
    <w:multiLevelType w:val="singleLevel"/>
    <w:tmpl w:val="DB75F1CF"/>
    <w:lvl w:ilvl="0" w:tentative="0">
      <w:start w:val="1"/>
      <w:numFmt w:val="chineseCounting"/>
      <w:suff w:val="nothing"/>
      <w:lvlText w:val="%1、"/>
      <w:lvlJc w:val="left"/>
      <w:rPr>
        <w:rFonts w:hint="eastAsia" w:ascii="仿宋" w:hAnsi="仿宋" w:eastAsia="仿宋" w:cs="仿宋"/>
        <w:sz w:val="32"/>
        <w:szCs w:val="32"/>
      </w:rPr>
    </w:lvl>
  </w:abstractNum>
  <w:abstractNum w:abstractNumId="2">
    <w:nsid w:val="7A8FF1B1"/>
    <w:multiLevelType w:val="singleLevel"/>
    <w:tmpl w:val="7A8FF1B1"/>
    <w:lvl w:ilvl="0" w:tentative="0">
      <w:start w:val="2"/>
      <w:numFmt w:val="chineseCounting"/>
      <w:suff w:val="space"/>
      <w:lvlText w:val="第%1章"/>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720"/>
  <w:drawingGridHorizontalSpacing w:val="110"/>
  <w:displayHorizontalDrawingGridEvery w:val="0"/>
  <w:displayVerticalDrawingGridEvery w:val="2"/>
  <w:characterSpacingControl w:val="doNotCompres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mMTNhYmNiNzBiMmI2MTk0M2JjZjNiNjY1MWQ3YTcifQ=="/>
  </w:docVars>
  <w:rsids>
    <w:rsidRoot w:val="00300C2A"/>
    <w:rsid w:val="00052D99"/>
    <w:rsid w:val="000D2548"/>
    <w:rsid w:val="0010012C"/>
    <w:rsid w:val="00103891"/>
    <w:rsid w:val="00125DD0"/>
    <w:rsid w:val="00165C6C"/>
    <w:rsid w:val="00166098"/>
    <w:rsid w:val="001672E1"/>
    <w:rsid w:val="001838E8"/>
    <w:rsid w:val="00186985"/>
    <w:rsid w:val="001B2939"/>
    <w:rsid w:val="001C560B"/>
    <w:rsid w:val="002117BC"/>
    <w:rsid w:val="00212B36"/>
    <w:rsid w:val="00216561"/>
    <w:rsid w:val="00284C4A"/>
    <w:rsid w:val="00300C2A"/>
    <w:rsid w:val="003274A7"/>
    <w:rsid w:val="00363874"/>
    <w:rsid w:val="003C458C"/>
    <w:rsid w:val="00407983"/>
    <w:rsid w:val="00411AC6"/>
    <w:rsid w:val="004425DE"/>
    <w:rsid w:val="004A2AD7"/>
    <w:rsid w:val="004A52FC"/>
    <w:rsid w:val="004E1D16"/>
    <w:rsid w:val="005077D3"/>
    <w:rsid w:val="00530C03"/>
    <w:rsid w:val="0053364D"/>
    <w:rsid w:val="005519DF"/>
    <w:rsid w:val="005628B0"/>
    <w:rsid w:val="00574C0C"/>
    <w:rsid w:val="005944C8"/>
    <w:rsid w:val="00634308"/>
    <w:rsid w:val="00634E20"/>
    <w:rsid w:val="006502E3"/>
    <w:rsid w:val="0065295D"/>
    <w:rsid w:val="00690081"/>
    <w:rsid w:val="00702D35"/>
    <w:rsid w:val="00754752"/>
    <w:rsid w:val="007853E2"/>
    <w:rsid w:val="00786067"/>
    <w:rsid w:val="007F18C1"/>
    <w:rsid w:val="008176EF"/>
    <w:rsid w:val="00836B2F"/>
    <w:rsid w:val="00862A7B"/>
    <w:rsid w:val="008C706B"/>
    <w:rsid w:val="00905415"/>
    <w:rsid w:val="00915A30"/>
    <w:rsid w:val="0098395F"/>
    <w:rsid w:val="00985A06"/>
    <w:rsid w:val="00A46F0C"/>
    <w:rsid w:val="00AA1F89"/>
    <w:rsid w:val="00AE43C2"/>
    <w:rsid w:val="00AF0E7C"/>
    <w:rsid w:val="00B403FA"/>
    <w:rsid w:val="00BA7F6B"/>
    <w:rsid w:val="00C118DC"/>
    <w:rsid w:val="00C230E8"/>
    <w:rsid w:val="00C36E4C"/>
    <w:rsid w:val="00C52E57"/>
    <w:rsid w:val="00D0449E"/>
    <w:rsid w:val="00D30FFC"/>
    <w:rsid w:val="00D46FC1"/>
    <w:rsid w:val="00D610AA"/>
    <w:rsid w:val="00D93C05"/>
    <w:rsid w:val="00DC35FE"/>
    <w:rsid w:val="00E15077"/>
    <w:rsid w:val="00E21A88"/>
    <w:rsid w:val="00E26C2B"/>
    <w:rsid w:val="00E56699"/>
    <w:rsid w:val="00E97275"/>
    <w:rsid w:val="00EA7C24"/>
    <w:rsid w:val="00EB7C01"/>
    <w:rsid w:val="00F14393"/>
    <w:rsid w:val="00F263F5"/>
    <w:rsid w:val="00F84561"/>
    <w:rsid w:val="00FD245E"/>
    <w:rsid w:val="00FD6B25"/>
    <w:rsid w:val="02177A9F"/>
    <w:rsid w:val="0247661F"/>
    <w:rsid w:val="02886DC8"/>
    <w:rsid w:val="02C866AB"/>
    <w:rsid w:val="031120B8"/>
    <w:rsid w:val="034F13B8"/>
    <w:rsid w:val="03520D8A"/>
    <w:rsid w:val="037345D0"/>
    <w:rsid w:val="04AA2172"/>
    <w:rsid w:val="04C9495C"/>
    <w:rsid w:val="04D67846"/>
    <w:rsid w:val="05EE4645"/>
    <w:rsid w:val="065A7376"/>
    <w:rsid w:val="066505A2"/>
    <w:rsid w:val="067B3A34"/>
    <w:rsid w:val="06852D8E"/>
    <w:rsid w:val="06AB431A"/>
    <w:rsid w:val="06AF4435"/>
    <w:rsid w:val="06B421E4"/>
    <w:rsid w:val="06B913A8"/>
    <w:rsid w:val="071874D5"/>
    <w:rsid w:val="07972AF0"/>
    <w:rsid w:val="079C5C35"/>
    <w:rsid w:val="07AA0D3A"/>
    <w:rsid w:val="083D2F3B"/>
    <w:rsid w:val="084A0EA6"/>
    <w:rsid w:val="08835CF1"/>
    <w:rsid w:val="089C60B9"/>
    <w:rsid w:val="08B73064"/>
    <w:rsid w:val="098478AD"/>
    <w:rsid w:val="09906EB4"/>
    <w:rsid w:val="09C4202F"/>
    <w:rsid w:val="09DF79CB"/>
    <w:rsid w:val="0A037666"/>
    <w:rsid w:val="0A232419"/>
    <w:rsid w:val="0A634F0B"/>
    <w:rsid w:val="0A981059"/>
    <w:rsid w:val="0ACA6D38"/>
    <w:rsid w:val="0AED2F41"/>
    <w:rsid w:val="0B874349"/>
    <w:rsid w:val="0B8D4948"/>
    <w:rsid w:val="0B960791"/>
    <w:rsid w:val="0BA30EE0"/>
    <w:rsid w:val="0BBF7729"/>
    <w:rsid w:val="0C45542C"/>
    <w:rsid w:val="0C760B24"/>
    <w:rsid w:val="0E39608A"/>
    <w:rsid w:val="0F14141A"/>
    <w:rsid w:val="0F1B5DB5"/>
    <w:rsid w:val="0F784FB5"/>
    <w:rsid w:val="0FFE370C"/>
    <w:rsid w:val="10613C9B"/>
    <w:rsid w:val="108B0131"/>
    <w:rsid w:val="109220A6"/>
    <w:rsid w:val="109F3D49"/>
    <w:rsid w:val="10D1791A"/>
    <w:rsid w:val="11104D8F"/>
    <w:rsid w:val="11AA7170"/>
    <w:rsid w:val="11BA3F68"/>
    <w:rsid w:val="11FC7C10"/>
    <w:rsid w:val="120F569C"/>
    <w:rsid w:val="12646B4E"/>
    <w:rsid w:val="13044FA8"/>
    <w:rsid w:val="1347361C"/>
    <w:rsid w:val="1396735C"/>
    <w:rsid w:val="14671080"/>
    <w:rsid w:val="148076DF"/>
    <w:rsid w:val="14AF76CB"/>
    <w:rsid w:val="14CD7B51"/>
    <w:rsid w:val="160E6673"/>
    <w:rsid w:val="16A16F94"/>
    <w:rsid w:val="16EA2C3C"/>
    <w:rsid w:val="16EF16B8"/>
    <w:rsid w:val="16F01E5A"/>
    <w:rsid w:val="171D42D6"/>
    <w:rsid w:val="17546308"/>
    <w:rsid w:val="17554377"/>
    <w:rsid w:val="17C0574B"/>
    <w:rsid w:val="18185587"/>
    <w:rsid w:val="1885146D"/>
    <w:rsid w:val="19006747"/>
    <w:rsid w:val="192C6C6F"/>
    <w:rsid w:val="196B7938"/>
    <w:rsid w:val="19D802FD"/>
    <w:rsid w:val="1A493DF5"/>
    <w:rsid w:val="1A4D3C17"/>
    <w:rsid w:val="1B1F54BA"/>
    <w:rsid w:val="1B60171F"/>
    <w:rsid w:val="1B6641F2"/>
    <w:rsid w:val="1C6D7B0F"/>
    <w:rsid w:val="1C8C516A"/>
    <w:rsid w:val="1CAE7580"/>
    <w:rsid w:val="1D4110DC"/>
    <w:rsid w:val="1DA97181"/>
    <w:rsid w:val="1DEC5181"/>
    <w:rsid w:val="1E0155BD"/>
    <w:rsid w:val="1E332105"/>
    <w:rsid w:val="1F0625DD"/>
    <w:rsid w:val="1F3D5C46"/>
    <w:rsid w:val="1F784B5D"/>
    <w:rsid w:val="1FB82A27"/>
    <w:rsid w:val="1FC7163D"/>
    <w:rsid w:val="20454426"/>
    <w:rsid w:val="205E25EB"/>
    <w:rsid w:val="20BB01AD"/>
    <w:rsid w:val="217456BC"/>
    <w:rsid w:val="21845A3B"/>
    <w:rsid w:val="21E46DB4"/>
    <w:rsid w:val="22032E04"/>
    <w:rsid w:val="221E12E7"/>
    <w:rsid w:val="22716C55"/>
    <w:rsid w:val="22C02F7D"/>
    <w:rsid w:val="22E06CA1"/>
    <w:rsid w:val="233B1031"/>
    <w:rsid w:val="23444CD5"/>
    <w:rsid w:val="236358D1"/>
    <w:rsid w:val="2369313B"/>
    <w:rsid w:val="237C10C0"/>
    <w:rsid w:val="23BE6558"/>
    <w:rsid w:val="23D264E4"/>
    <w:rsid w:val="24840D4C"/>
    <w:rsid w:val="24C4210E"/>
    <w:rsid w:val="253D1762"/>
    <w:rsid w:val="255B1288"/>
    <w:rsid w:val="258D2952"/>
    <w:rsid w:val="26294985"/>
    <w:rsid w:val="267A4213"/>
    <w:rsid w:val="26944088"/>
    <w:rsid w:val="270B7D38"/>
    <w:rsid w:val="27371026"/>
    <w:rsid w:val="27CB3D5A"/>
    <w:rsid w:val="28687E65"/>
    <w:rsid w:val="28754330"/>
    <w:rsid w:val="288B6760"/>
    <w:rsid w:val="289E2002"/>
    <w:rsid w:val="29275BE8"/>
    <w:rsid w:val="2A2B114A"/>
    <w:rsid w:val="2AC60234"/>
    <w:rsid w:val="2B386F81"/>
    <w:rsid w:val="2B6E3DAB"/>
    <w:rsid w:val="2B941B62"/>
    <w:rsid w:val="2BF632CB"/>
    <w:rsid w:val="2C7B06C4"/>
    <w:rsid w:val="2D1B54A6"/>
    <w:rsid w:val="2D6B6473"/>
    <w:rsid w:val="2D836523"/>
    <w:rsid w:val="30105FF0"/>
    <w:rsid w:val="30183F1E"/>
    <w:rsid w:val="305F38FB"/>
    <w:rsid w:val="308C13FD"/>
    <w:rsid w:val="3256513A"/>
    <w:rsid w:val="32A94E61"/>
    <w:rsid w:val="33205D96"/>
    <w:rsid w:val="33A046E3"/>
    <w:rsid w:val="33E40C93"/>
    <w:rsid w:val="340F5638"/>
    <w:rsid w:val="341464E7"/>
    <w:rsid w:val="34514642"/>
    <w:rsid w:val="34B85C0B"/>
    <w:rsid w:val="34C07D0B"/>
    <w:rsid w:val="35154143"/>
    <w:rsid w:val="355862C2"/>
    <w:rsid w:val="35C54DDF"/>
    <w:rsid w:val="35C67F79"/>
    <w:rsid w:val="35EB780B"/>
    <w:rsid w:val="36D84407"/>
    <w:rsid w:val="36F06D18"/>
    <w:rsid w:val="375776B2"/>
    <w:rsid w:val="386C01ED"/>
    <w:rsid w:val="398379E0"/>
    <w:rsid w:val="39900FC9"/>
    <w:rsid w:val="3A6F5083"/>
    <w:rsid w:val="3ACE5C2D"/>
    <w:rsid w:val="3B05075C"/>
    <w:rsid w:val="3B274F64"/>
    <w:rsid w:val="3B561D9F"/>
    <w:rsid w:val="3B620744"/>
    <w:rsid w:val="3CD63197"/>
    <w:rsid w:val="3D4D256C"/>
    <w:rsid w:val="3DCC2E80"/>
    <w:rsid w:val="3DE73182"/>
    <w:rsid w:val="3E083824"/>
    <w:rsid w:val="3E087FFA"/>
    <w:rsid w:val="3E131759"/>
    <w:rsid w:val="3EB40102"/>
    <w:rsid w:val="3ED354A0"/>
    <w:rsid w:val="3F7D6E5A"/>
    <w:rsid w:val="3F931B7B"/>
    <w:rsid w:val="3FE9792F"/>
    <w:rsid w:val="400D5097"/>
    <w:rsid w:val="401C7549"/>
    <w:rsid w:val="40375844"/>
    <w:rsid w:val="40763401"/>
    <w:rsid w:val="408E7176"/>
    <w:rsid w:val="409E3FCC"/>
    <w:rsid w:val="415A3DC2"/>
    <w:rsid w:val="416C1536"/>
    <w:rsid w:val="4171530A"/>
    <w:rsid w:val="4179797E"/>
    <w:rsid w:val="41AF3FB7"/>
    <w:rsid w:val="41E2613A"/>
    <w:rsid w:val="42334BE8"/>
    <w:rsid w:val="424B0183"/>
    <w:rsid w:val="4323397D"/>
    <w:rsid w:val="432664FB"/>
    <w:rsid w:val="437E06E2"/>
    <w:rsid w:val="438C777A"/>
    <w:rsid w:val="44056110"/>
    <w:rsid w:val="44621C79"/>
    <w:rsid w:val="44670F49"/>
    <w:rsid w:val="446E63AB"/>
    <w:rsid w:val="44775642"/>
    <w:rsid w:val="44B92A3B"/>
    <w:rsid w:val="44F52628"/>
    <w:rsid w:val="453C2B05"/>
    <w:rsid w:val="45675090"/>
    <w:rsid w:val="45B778DE"/>
    <w:rsid w:val="45BB1CFC"/>
    <w:rsid w:val="46731A57"/>
    <w:rsid w:val="46EA4B08"/>
    <w:rsid w:val="47206A72"/>
    <w:rsid w:val="477C24BF"/>
    <w:rsid w:val="4860183B"/>
    <w:rsid w:val="48D8172B"/>
    <w:rsid w:val="490F4033"/>
    <w:rsid w:val="492139EC"/>
    <w:rsid w:val="497436FA"/>
    <w:rsid w:val="4977185E"/>
    <w:rsid w:val="49AE4226"/>
    <w:rsid w:val="49AF724A"/>
    <w:rsid w:val="49B34D68"/>
    <w:rsid w:val="4A577787"/>
    <w:rsid w:val="4A743FEF"/>
    <w:rsid w:val="4AB60988"/>
    <w:rsid w:val="4B7A37FA"/>
    <w:rsid w:val="4C545E87"/>
    <w:rsid w:val="4C605F22"/>
    <w:rsid w:val="4CBD37EE"/>
    <w:rsid w:val="4CFC179A"/>
    <w:rsid w:val="4D8072CA"/>
    <w:rsid w:val="4E3C4E24"/>
    <w:rsid w:val="4E637DFD"/>
    <w:rsid w:val="4EC12742"/>
    <w:rsid w:val="4EE107B3"/>
    <w:rsid w:val="4FEF5F6F"/>
    <w:rsid w:val="4FFD2D07"/>
    <w:rsid w:val="50632584"/>
    <w:rsid w:val="509A7C5E"/>
    <w:rsid w:val="50CF5251"/>
    <w:rsid w:val="525B35E6"/>
    <w:rsid w:val="525F067B"/>
    <w:rsid w:val="526E0329"/>
    <w:rsid w:val="52D977C5"/>
    <w:rsid w:val="52F972DC"/>
    <w:rsid w:val="536A2433"/>
    <w:rsid w:val="53876B42"/>
    <w:rsid w:val="539308FE"/>
    <w:rsid w:val="53A07C03"/>
    <w:rsid w:val="54172411"/>
    <w:rsid w:val="5448643F"/>
    <w:rsid w:val="545B7987"/>
    <w:rsid w:val="5461527E"/>
    <w:rsid w:val="54C1788A"/>
    <w:rsid w:val="551F124E"/>
    <w:rsid w:val="55286102"/>
    <w:rsid w:val="55D75763"/>
    <w:rsid w:val="56356EF1"/>
    <w:rsid w:val="56464A92"/>
    <w:rsid w:val="568402F1"/>
    <w:rsid w:val="56C854A7"/>
    <w:rsid w:val="57192DF4"/>
    <w:rsid w:val="5728181B"/>
    <w:rsid w:val="57925B2F"/>
    <w:rsid w:val="57DB2FE5"/>
    <w:rsid w:val="58C01358"/>
    <w:rsid w:val="58E80082"/>
    <w:rsid w:val="59617E35"/>
    <w:rsid w:val="5A413F0B"/>
    <w:rsid w:val="5A632532"/>
    <w:rsid w:val="5A745E11"/>
    <w:rsid w:val="5A797C42"/>
    <w:rsid w:val="5A9E1E62"/>
    <w:rsid w:val="5B5B5B3E"/>
    <w:rsid w:val="5C3514C9"/>
    <w:rsid w:val="5C7E7FB4"/>
    <w:rsid w:val="5E533B1A"/>
    <w:rsid w:val="5E7C0D5B"/>
    <w:rsid w:val="5ED74E21"/>
    <w:rsid w:val="5ED76E2E"/>
    <w:rsid w:val="5FAD5B82"/>
    <w:rsid w:val="5FEB0458"/>
    <w:rsid w:val="60583D40"/>
    <w:rsid w:val="60E03D35"/>
    <w:rsid w:val="60FF72A5"/>
    <w:rsid w:val="61356E89"/>
    <w:rsid w:val="61572249"/>
    <w:rsid w:val="62293553"/>
    <w:rsid w:val="62326812"/>
    <w:rsid w:val="62D34B4D"/>
    <w:rsid w:val="62E0001C"/>
    <w:rsid w:val="6345292E"/>
    <w:rsid w:val="641461CF"/>
    <w:rsid w:val="643C74D4"/>
    <w:rsid w:val="64432611"/>
    <w:rsid w:val="64820E66"/>
    <w:rsid w:val="6540151C"/>
    <w:rsid w:val="656255CF"/>
    <w:rsid w:val="65C37EAD"/>
    <w:rsid w:val="65C85E6E"/>
    <w:rsid w:val="661327FD"/>
    <w:rsid w:val="66385201"/>
    <w:rsid w:val="66C51A03"/>
    <w:rsid w:val="66FF158D"/>
    <w:rsid w:val="670275B8"/>
    <w:rsid w:val="6810158C"/>
    <w:rsid w:val="68510EF6"/>
    <w:rsid w:val="68936462"/>
    <w:rsid w:val="691E2C3C"/>
    <w:rsid w:val="692807B1"/>
    <w:rsid w:val="693E5A9D"/>
    <w:rsid w:val="694C2DB6"/>
    <w:rsid w:val="69637BC7"/>
    <w:rsid w:val="6983363C"/>
    <w:rsid w:val="69FD14B4"/>
    <w:rsid w:val="6A091AA3"/>
    <w:rsid w:val="6A2238BB"/>
    <w:rsid w:val="6A5B30B5"/>
    <w:rsid w:val="6ACB7DEB"/>
    <w:rsid w:val="6AF26B3F"/>
    <w:rsid w:val="6B8117F0"/>
    <w:rsid w:val="6BA936A1"/>
    <w:rsid w:val="6BDF572E"/>
    <w:rsid w:val="6BE0108D"/>
    <w:rsid w:val="6CBC2A1B"/>
    <w:rsid w:val="6CD66551"/>
    <w:rsid w:val="6CDC1854"/>
    <w:rsid w:val="6D8E6FF3"/>
    <w:rsid w:val="6DCF0A71"/>
    <w:rsid w:val="6E6E6F6F"/>
    <w:rsid w:val="6ECB1B80"/>
    <w:rsid w:val="6F084B83"/>
    <w:rsid w:val="6F833207"/>
    <w:rsid w:val="6FD809F9"/>
    <w:rsid w:val="6FE614D9"/>
    <w:rsid w:val="70A64653"/>
    <w:rsid w:val="70D65D18"/>
    <w:rsid w:val="71162945"/>
    <w:rsid w:val="71995F66"/>
    <w:rsid w:val="71B04698"/>
    <w:rsid w:val="71B40FF2"/>
    <w:rsid w:val="71CA25C3"/>
    <w:rsid w:val="72522B12"/>
    <w:rsid w:val="72C74933"/>
    <w:rsid w:val="72D1187F"/>
    <w:rsid w:val="73853FC2"/>
    <w:rsid w:val="740022CC"/>
    <w:rsid w:val="74142854"/>
    <w:rsid w:val="74F87B39"/>
    <w:rsid w:val="759948AF"/>
    <w:rsid w:val="75CA7D9B"/>
    <w:rsid w:val="75E308CD"/>
    <w:rsid w:val="76962D2C"/>
    <w:rsid w:val="76A722AC"/>
    <w:rsid w:val="76EC6B38"/>
    <w:rsid w:val="771A5453"/>
    <w:rsid w:val="77690779"/>
    <w:rsid w:val="781C782E"/>
    <w:rsid w:val="783764D9"/>
    <w:rsid w:val="78A551F0"/>
    <w:rsid w:val="79004B1D"/>
    <w:rsid w:val="79894B12"/>
    <w:rsid w:val="79F223A1"/>
    <w:rsid w:val="7A1F7224"/>
    <w:rsid w:val="7A9E283F"/>
    <w:rsid w:val="7AF661D7"/>
    <w:rsid w:val="7B544F4C"/>
    <w:rsid w:val="7B756B46"/>
    <w:rsid w:val="7BD57E9B"/>
    <w:rsid w:val="7C06244A"/>
    <w:rsid w:val="7CED7E3A"/>
    <w:rsid w:val="7CF46746"/>
    <w:rsid w:val="7D4A280A"/>
    <w:rsid w:val="7D645263"/>
    <w:rsid w:val="7DB163E5"/>
    <w:rsid w:val="7EAE2CC9"/>
    <w:rsid w:val="7FB768E5"/>
    <w:rsid w:val="7FC94AAA"/>
    <w:rsid w:val="7FDE1E4E"/>
    <w:rsid w:val="7FEF3E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Calibri" w:cs="宋体"/>
      <w:sz w:val="24"/>
      <w:szCs w:val="24"/>
      <w:lang w:val="en-US" w:eastAsia="en-US" w:bidi="ar-SA"/>
    </w:rPr>
  </w:style>
  <w:style w:type="paragraph" w:styleId="2">
    <w:name w:val="heading 1"/>
    <w:basedOn w:val="1"/>
    <w:next w:val="1"/>
    <w:qFormat/>
    <w:uiPriority w:val="0"/>
    <w:pPr>
      <w:outlineLvl w:val="0"/>
    </w:pPr>
    <w:rPr>
      <w:rFonts w:ascii="宋体" w:hAnsi="宋体" w:eastAsia="宋体"/>
      <w:sz w:val="36"/>
      <w:szCs w:val="36"/>
    </w:rPr>
  </w:style>
  <w:style w:type="paragraph" w:styleId="3">
    <w:name w:val="heading 2"/>
    <w:basedOn w:val="1"/>
    <w:next w:val="1"/>
    <w:qFormat/>
    <w:uiPriority w:val="0"/>
    <w:pPr>
      <w:ind w:left="121"/>
      <w:outlineLvl w:val="1"/>
    </w:pPr>
    <w:rPr>
      <w:rFonts w:ascii="宋体" w:hAnsi="宋体" w:eastAsia="宋体"/>
      <w:sz w:val="32"/>
      <w:szCs w:val="32"/>
    </w:rPr>
  </w:style>
  <w:style w:type="paragraph" w:styleId="4">
    <w:name w:val="heading 3"/>
    <w:basedOn w:val="1"/>
    <w:next w:val="1"/>
    <w:qFormat/>
    <w:uiPriority w:val="0"/>
    <w:pPr>
      <w:outlineLvl w:val="2"/>
    </w:pPr>
    <w:rPr>
      <w:rFonts w:ascii="宋体" w:hAnsi="宋体" w:eastAsia="宋体"/>
      <w:sz w:val="28"/>
      <w:szCs w:val="28"/>
    </w:rPr>
  </w:style>
  <w:style w:type="paragraph" w:styleId="5">
    <w:name w:val="heading 4"/>
    <w:basedOn w:val="1"/>
    <w:next w:val="1"/>
    <w:qFormat/>
    <w:uiPriority w:val="0"/>
    <w:pPr>
      <w:spacing w:before="14"/>
      <w:ind w:left="208"/>
      <w:outlineLvl w:val="3"/>
    </w:pPr>
    <w:rPr>
      <w:rFonts w:ascii="宋体" w:hAnsi="宋体" w:eastAsia="宋体"/>
      <w:i/>
      <w:sz w:val="25"/>
      <w:szCs w:val="25"/>
    </w:rPr>
  </w:style>
  <w:style w:type="character" w:default="1" w:styleId="26">
    <w:name w:val="Default Paragraph Font"/>
    <w:semiHidden/>
    <w:unhideWhenUsed/>
    <w:qFormat/>
    <w:uiPriority w:val="1"/>
  </w:style>
  <w:style w:type="table" w:default="1" w:styleId="2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qFormat/>
    <w:uiPriority w:val="0"/>
    <w:pPr>
      <w:ind w:firstLine="420"/>
    </w:pPr>
    <w:rPr>
      <w:rFonts w:ascii="Times New Roman" w:hAnsi="Times New Roman" w:eastAsia="仿宋_GB2312"/>
      <w:i/>
      <w:sz w:val="32"/>
    </w:rPr>
  </w:style>
  <w:style w:type="paragraph" w:styleId="7">
    <w:name w:val="annotation text"/>
    <w:basedOn w:val="1"/>
    <w:qFormat/>
    <w:uiPriority w:val="0"/>
    <w:rPr>
      <w:rFonts w:ascii="Arial" w:hAnsi="Arial" w:eastAsia="黑体" w:cs="Arial"/>
      <w:szCs w:val="20"/>
    </w:rPr>
  </w:style>
  <w:style w:type="paragraph" w:styleId="8">
    <w:name w:val="Body Text"/>
    <w:basedOn w:val="1"/>
    <w:next w:val="1"/>
    <w:qFormat/>
    <w:uiPriority w:val="0"/>
    <w:pPr>
      <w:spacing w:before="26"/>
      <w:ind w:left="121"/>
    </w:pPr>
    <w:rPr>
      <w:rFonts w:ascii="宋体" w:hAnsi="宋体" w:eastAsia="宋体"/>
    </w:rPr>
  </w:style>
  <w:style w:type="paragraph" w:styleId="9">
    <w:name w:val="Body Text Indent"/>
    <w:basedOn w:val="1"/>
    <w:next w:val="10"/>
    <w:qFormat/>
    <w:uiPriority w:val="0"/>
    <w:pPr>
      <w:spacing w:after="120"/>
      <w:ind w:left="420" w:leftChars="200"/>
    </w:pPr>
  </w:style>
  <w:style w:type="paragraph" w:styleId="10">
    <w:name w:val="envelope return"/>
    <w:basedOn w:val="1"/>
    <w:qFormat/>
    <w:uiPriority w:val="0"/>
    <w:pPr>
      <w:snapToGrid w:val="0"/>
    </w:pPr>
    <w:rPr>
      <w:rFonts w:ascii="Arial" w:hAnsi="Arial"/>
    </w:rPr>
  </w:style>
  <w:style w:type="paragraph" w:styleId="11">
    <w:name w:val="Plain Text"/>
    <w:basedOn w:val="1"/>
    <w:qFormat/>
    <w:uiPriority w:val="99"/>
    <w:rPr>
      <w:rFonts w:ascii="宋体" w:hAnsi="Courier New" w:eastAsiaTheme="minorEastAsia" w:cstheme="minorBidi"/>
      <w:szCs w:val="22"/>
    </w:rPr>
  </w:style>
  <w:style w:type="paragraph" w:styleId="12">
    <w:name w:val="Date"/>
    <w:basedOn w:val="1"/>
    <w:next w:val="1"/>
    <w:qFormat/>
    <w:uiPriority w:val="0"/>
    <w:rPr>
      <w:rFonts w:ascii="Arial" w:hAnsi="Arial" w:eastAsia="宋体" w:cs="Arial"/>
      <w:b/>
      <w:sz w:val="28"/>
    </w:rPr>
  </w:style>
  <w:style w:type="paragraph" w:styleId="13">
    <w:name w:val="footer"/>
    <w:basedOn w:val="1"/>
    <w:qFormat/>
    <w:uiPriority w:val="0"/>
    <w:pPr>
      <w:tabs>
        <w:tab w:val="center" w:pos="4153"/>
        <w:tab w:val="right" w:pos="8306"/>
      </w:tabs>
      <w:snapToGrid w:val="0"/>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5">
    <w:name w:val="toc 1"/>
    <w:basedOn w:val="1"/>
    <w:next w:val="1"/>
    <w:qFormat/>
    <w:uiPriority w:val="0"/>
    <w:pPr>
      <w:spacing w:before="136"/>
    </w:pPr>
    <w:rPr>
      <w:rFonts w:ascii="宋体" w:hAnsi="宋体" w:eastAsia="宋体"/>
    </w:rPr>
  </w:style>
  <w:style w:type="paragraph" w:styleId="16">
    <w:name w:val="footnote text"/>
    <w:basedOn w:val="1"/>
    <w:autoRedefine/>
    <w:qFormat/>
    <w:uiPriority w:val="0"/>
    <w:pPr>
      <w:snapToGrid w:val="0"/>
    </w:pPr>
    <w:rPr>
      <w:sz w:val="18"/>
    </w:rPr>
  </w:style>
  <w:style w:type="paragraph" w:styleId="17">
    <w:name w:val="toc 2"/>
    <w:basedOn w:val="1"/>
    <w:next w:val="1"/>
    <w:qFormat/>
    <w:uiPriority w:val="0"/>
    <w:pPr>
      <w:tabs>
        <w:tab w:val="right" w:leader="dot" w:pos="8937"/>
      </w:tabs>
      <w:spacing w:line="312" w:lineRule="auto"/>
      <w:ind w:left="420" w:leftChars="200"/>
    </w:pPr>
  </w:style>
  <w:style w:type="paragraph" w:styleId="1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9">
    <w:name w:val="Normal (Web)"/>
    <w:basedOn w:val="1"/>
    <w:qFormat/>
    <w:uiPriority w:val="0"/>
    <w:pPr>
      <w:spacing w:beforeAutospacing="1" w:afterAutospacing="1"/>
    </w:pPr>
    <w:rPr>
      <w:rFonts w:cs="Times New Roman"/>
      <w:lang w:eastAsia="zh-CN"/>
    </w:rPr>
  </w:style>
  <w:style w:type="paragraph" w:styleId="20">
    <w:name w:val="index 1"/>
    <w:basedOn w:val="1"/>
    <w:next w:val="1"/>
    <w:qFormat/>
    <w:uiPriority w:val="0"/>
    <w:pPr>
      <w:jc w:val="center"/>
    </w:pPr>
    <w:rPr>
      <w:rFonts w:ascii="Arial" w:hAnsi="Arial" w:eastAsia="Arial" w:cs="Arial"/>
      <w:b/>
      <w:bCs/>
      <w:sz w:val="28"/>
    </w:rPr>
  </w:style>
  <w:style w:type="paragraph" w:styleId="21">
    <w:name w:val="Title"/>
    <w:basedOn w:val="1"/>
    <w:qFormat/>
    <w:uiPriority w:val="0"/>
    <w:pPr>
      <w:widowControl/>
      <w:overflowPunct w:val="0"/>
      <w:autoSpaceDE w:val="0"/>
      <w:autoSpaceDN w:val="0"/>
      <w:jc w:val="center"/>
      <w:textAlignment w:val="baseline"/>
    </w:pPr>
    <w:rPr>
      <w:b/>
    </w:rPr>
  </w:style>
  <w:style w:type="paragraph" w:styleId="22">
    <w:name w:val="Body Text First Indent"/>
    <w:unhideWhenUsed/>
    <w:qFormat/>
    <w:uiPriority w:val="99"/>
    <w:pPr>
      <w:widowControl w:val="0"/>
      <w:spacing w:before="26"/>
      <w:ind w:left="121" w:firstLine="420" w:firstLineChars="100"/>
    </w:pPr>
    <w:rPr>
      <w:rFonts w:ascii="宋体" w:hAnsi="宋体" w:eastAsia="宋体" w:cs="宋体"/>
      <w:sz w:val="24"/>
      <w:szCs w:val="24"/>
      <w:lang w:val="en-US" w:eastAsia="en-US" w:bidi="ar-SA"/>
    </w:rPr>
  </w:style>
  <w:style w:type="paragraph" w:styleId="23">
    <w:name w:val="Body Text First Indent 2"/>
    <w:basedOn w:val="9"/>
    <w:next w:val="1"/>
    <w:semiHidden/>
    <w:unhideWhenUsed/>
    <w:qFormat/>
    <w:uiPriority w:val="99"/>
    <w:pPr>
      <w:ind w:firstLine="420" w:firstLineChars="200"/>
    </w:pPr>
    <w:rPr>
      <w:rFonts w:ascii="Times New Roman" w:hAnsi="Times New Roman" w:cs="Times New Roman"/>
      <w:szCs w:val="21"/>
    </w:rPr>
  </w:style>
  <w:style w:type="table" w:styleId="25">
    <w:name w:val="Table Grid"/>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basedOn w:val="26"/>
    <w:qFormat/>
    <w:uiPriority w:val="0"/>
    <w:rPr>
      <w:b/>
      <w:bCs/>
    </w:rPr>
  </w:style>
  <w:style w:type="character" w:styleId="28">
    <w:name w:val="FollowedHyperlink"/>
    <w:basedOn w:val="26"/>
    <w:qFormat/>
    <w:uiPriority w:val="0"/>
    <w:rPr>
      <w:color w:val="333333"/>
      <w:u w:val="none"/>
    </w:rPr>
  </w:style>
  <w:style w:type="character" w:styleId="29">
    <w:name w:val="Emphasis"/>
    <w:basedOn w:val="26"/>
    <w:qFormat/>
    <w:uiPriority w:val="0"/>
    <w:rPr>
      <w:i/>
    </w:rPr>
  </w:style>
  <w:style w:type="character" w:styleId="30">
    <w:name w:val="Hyperlink"/>
    <w:basedOn w:val="26"/>
    <w:qFormat/>
    <w:uiPriority w:val="0"/>
    <w:rPr>
      <w:color w:val="333333"/>
      <w:u w:val="none"/>
    </w:rPr>
  </w:style>
  <w:style w:type="character" w:styleId="31">
    <w:name w:val="annotation reference"/>
    <w:basedOn w:val="26"/>
    <w:qFormat/>
    <w:uiPriority w:val="0"/>
    <w:rPr>
      <w:sz w:val="21"/>
      <w:szCs w:val="21"/>
    </w:rPr>
  </w:style>
  <w:style w:type="character" w:styleId="32">
    <w:name w:val="footnote reference"/>
    <w:qFormat/>
    <w:uiPriority w:val="0"/>
    <w:rPr>
      <w:vertAlign w:val="superscript"/>
    </w:rPr>
  </w:style>
  <w:style w:type="paragraph" w:customStyle="1" w:styleId="33">
    <w:name w:val="HTML 地址1"/>
    <w:qFormat/>
    <w:uiPriority w:val="0"/>
    <w:pPr>
      <w:spacing w:before="100" w:beforeAutospacing="1" w:after="100" w:afterAutospacing="1"/>
    </w:pPr>
    <w:rPr>
      <w:rFonts w:ascii="宋体" w:hAnsi="宋体" w:eastAsia="宋体" w:cs="宋体"/>
      <w:sz w:val="24"/>
      <w:lang w:val="en-US" w:eastAsia="zh-CN" w:bidi="ar-SA"/>
    </w:rPr>
  </w:style>
  <w:style w:type="paragraph" w:customStyle="1" w:styleId="34">
    <w:name w:val="普通(网站)1"/>
    <w:basedOn w:val="1"/>
    <w:next w:val="35"/>
    <w:qFormat/>
    <w:uiPriority w:val="0"/>
    <w:pPr>
      <w:spacing w:beforeAutospacing="1" w:afterAutospacing="1"/>
    </w:pPr>
    <w:rPr>
      <w:lang w:eastAsia="zh-CN"/>
    </w:rPr>
  </w:style>
  <w:style w:type="paragraph" w:customStyle="1" w:styleId="35">
    <w:name w:val="正文文字 8"/>
    <w:basedOn w:val="1"/>
    <w:next w:val="1"/>
    <w:qFormat/>
    <w:uiPriority w:val="0"/>
    <w:pPr>
      <w:ind w:left="240"/>
    </w:pPr>
    <w:rPr>
      <w:sz w:val="16"/>
    </w:rPr>
  </w:style>
  <w:style w:type="paragraph" w:customStyle="1" w:styleId="36">
    <w:name w:val="日期1"/>
    <w:basedOn w:val="1"/>
    <w:next w:val="1"/>
    <w:qFormat/>
    <w:uiPriority w:val="0"/>
    <w:pPr>
      <w:ind w:left="100" w:leftChars="2500"/>
    </w:pPr>
  </w:style>
  <w:style w:type="paragraph" w:customStyle="1" w:styleId="37">
    <w:name w:val="正文文本缩进1"/>
    <w:basedOn w:val="1"/>
    <w:qFormat/>
    <w:uiPriority w:val="0"/>
    <w:pPr>
      <w:spacing w:line="480" w:lineRule="exact"/>
      <w:ind w:firstLine="480" w:firstLineChars="200"/>
    </w:pPr>
    <w:rPr>
      <w:rFonts w:ascii="宋体" w:hAnsi="宋体"/>
    </w:rPr>
  </w:style>
  <w:style w:type="paragraph" w:customStyle="1" w:styleId="38">
    <w:name w:val="纯文本1"/>
    <w:basedOn w:val="1"/>
    <w:qFormat/>
    <w:uiPriority w:val="0"/>
    <w:rPr>
      <w:rFonts w:ascii="宋体" w:hAnsi="Courier New" w:cs="Arial"/>
      <w:snapToGrid w:val="0"/>
      <w:szCs w:val="21"/>
    </w:rPr>
  </w:style>
  <w:style w:type="paragraph" w:customStyle="1" w:styleId="39">
    <w:name w:val="寄信人地址1"/>
    <w:basedOn w:val="1"/>
    <w:qFormat/>
    <w:uiPriority w:val="0"/>
    <w:pPr>
      <w:snapToGrid w:val="0"/>
    </w:pPr>
    <w:rPr>
      <w:rFonts w:ascii="Arial" w:hAnsi="Arial"/>
    </w:rPr>
  </w:style>
  <w:style w:type="paragraph" w:customStyle="1" w:styleId="40">
    <w:name w:val="列表1"/>
    <w:basedOn w:val="1"/>
    <w:qFormat/>
    <w:uiPriority w:val="0"/>
    <w:pPr>
      <w:spacing w:line="360" w:lineRule="auto"/>
    </w:pPr>
    <w:rPr>
      <w:rFonts w:ascii="Times New Roman" w:hAnsi="Times New Roman" w:eastAsia="仿宋_GB2312" w:cs="Times New Roman"/>
    </w:rPr>
  </w:style>
  <w:style w:type="paragraph" w:customStyle="1" w:styleId="41">
    <w:name w:val="正文文本首行缩进 21"/>
    <w:basedOn w:val="37"/>
    <w:next w:val="1"/>
    <w:qFormat/>
    <w:uiPriority w:val="0"/>
    <w:pPr>
      <w:ind w:left="420" w:firstLine="420"/>
    </w:pPr>
  </w:style>
  <w:style w:type="paragraph" w:customStyle="1" w:styleId="42">
    <w:name w:val="列表段落1"/>
    <w:basedOn w:val="1"/>
    <w:qFormat/>
    <w:uiPriority w:val="0"/>
  </w:style>
  <w:style w:type="paragraph" w:customStyle="1" w:styleId="43">
    <w:name w:val="Table Paragraph"/>
    <w:basedOn w:val="1"/>
    <w:qFormat/>
    <w:uiPriority w:val="0"/>
  </w:style>
  <w:style w:type="paragraph" w:customStyle="1" w:styleId="44">
    <w:name w:val="xl31"/>
    <w:basedOn w:val="1"/>
    <w:qFormat/>
    <w:uiPriority w:val="0"/>
    <w:pPr>
      <w:widowControl/>
      <w:spacing w:before="100" w:beforeAutospacing="1" w:after="100" w:afterAutospacing="1"/>
      <w:jc w:val="center"/>
    </w:pPr>
    <w:rPr>
      <w:b/>
      <w:bCs/>
      <w:sz w:val="28"/>
      <w:szCs w:val="28"/>
    </w:rPr>
  </w:style>
  <w:style w:type="paragraph" w:customStyle="1" w:styleId="45">
    <w:name w:val="trs_editor"/>
    <w:basedOn w:val="1"/>
    <w:qFormat/>
    <w:uiPriority w:val="0"/>
    <w:pPr>
      <w:widowControl/>
      <w:spacing w:beforeAutospacing="1" w:afterAutospacing="1"/>
    </w:pPr>
    <w:rPr>
      <w:rFonts w:hint="eastAsia" w:ascii="宋体" w:hAnsi="宋体" w:eastAsia="宋体"/>
      <w:lang w:eastAsia="zh-CN"/>
    </w:rPr>
  </w:style>
  <w:style w:type="paragraph" w:customStyle="1" w:styleId="46">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7">
    <w:name w:val="正文_0_0"/>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Char Char Char Char Char Char Char1 Char_1"/>
    <w:basedOn w:val="49"/>
    <w:autoRedefine/>
    <w:qFormat/>
    <w:uiPriority w:val="0"/>
    <w:rPr>
      <w:rFonts w:ascii="Tahoma" w:hAnsi="Tahoma"/>
      <w:sz w:val="24"/>
    </w:rPr>
  </w:style>
  <w:style w:type="paragraph" w:customStyle="1" w:styleId="49">
    <w:name w:val="正文_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0">
    <w:name w:val="正文缩进1"/>
    <w:basedOn w:val="1"/>
    <w:next w:val="37"/>
    <w:autoRedefine/>
    <w:qFormat/>
    <w:uiPriority w:val="0"/>
    <w:pPr>
      <w:autoSpaceDE w:val="0"/>
      <w:autoSpaceDN w:val="0"/>
      <w:snapToGrid w:val="0"/>
      <w:spacing w:after="120" w:line="360" w:lineRule="auto"/>
      <w:ind w:left="420" w:leftChars="200" w:firstLine="480" w:firstLineChars="200"/>
    </w:pPr>
    <w:rPr>
      <w:szCs w:val="21"/>
    </w:rPr>
  </w:style>
  <w:style w:type="paragraph" w:customStyle="1" w:styleId="51">
    <w:name w:val="索引 11"/>
    <w:basedOn w:val="1"/>
    <w:next w:val="1"/>
    <w:autoRedefine/>
    <w:qFormat/>
    <w:uiPriority w:val="0"/>
    <w:pPr>
      <w:spacing w:line="360" w:lineRule="auto"/>
    </w:pPr>
    <w:rPr>
      <w:rFonts w:ascii="仿宋_GB2312" w:eastAsia="仿宋_GB2312"/>
      <w:szCs w:val="20"/>
    </w:rPr>
  </w:style>
  <w:style w:type="paragraph" w:customStyle="1" w:styleId="52">
    <w:name w:val="text-tag"/>
    <w:basedOn w:val="1"/>
    <w:autoRedefine/>
    <w:qFormat/>
    <w:uiPriority w:val="0"/>
    <w:pPr>
      <w:widowControl/>
      <w:spacing w:before="100" w:beforeAutospacing="1" w:after="100" w:afterAutospacing="1"/>
    </w:pPr>
    <w:rPr>
      <w:rFonts w:ascii="宋体" w:hAnsi="宋体"/>
    </w:rPr>
  </w:style>
  <w:style w:type="paragraph" w:customStyle="1" w:styleId="53">
    <w:name w:val="纯文本11"/>
    <w:basedOn w:val="1"/>
    <w:autoRedefine/>
    <w:qFormat/>
    <w:uiPriority w:val="0"/>
    <w:rPr>
      <w:rFonts w:ascii="宋体" w:hAnsi="Courier New"/>
      <w:sz w:val="20"/>
      <w:szCs w:val="20"/>
    </w:rPr>
  </w:style>
  <w:style w:type="paragraph" w:customStyle="1" w:styleId="54">
    <w:name w:val="正文缩进2"/>
    <w:basedOn w:val="1"/>
    <w:autoRedefine/>
    <w:qFormat/>
    <w:uiPriority w:val="0"/>
    <w:pPr>
      <w:widowControl/>
      <w:snapToGrid w:val="0"/>
      <w:spacing w:line="480" w:lineRule="exact"/>
      <w:ind w:firstLine="567"/>
    </w:pPr>
    <w:rPr>
      <w:rFonts w:ascii="宋体" w:eastAsia="宋体"/>
      <w:snapToGrid w:val="0"/>
      <w:color w:val="000000"/>
      <w:kern w:val="28"/>
      <w:sz w:val="28"/>
      <w:lang w:eastAsia="zh-CN"/>
    </w:rPr>
  </w:style>
  <w:style w:type="paragraph" w:customStyle="1" w:styleId="55">
    <w:name w:val="text-tag1"/>
    <w:autoRedefine/>
    <w:qFormat/>
    <w:uiPriority w:val="0"/>
    <w:pPr>
      <w:spacing w:before="100" w:beforeAutospacing="1" w:after="100" w:afterAutospacing="1"/>
    </w:pPr>
    <w:rPr>
      <w:rFonts w:ascii="宋体" w:hAnsi="宋体" w:eastAsia="宋体" w:cs="宋体"/>
      <w:sz w:val="24"/>
      <w:lang w:val="en-US" w:eastAsia="zh-CN" w:bidi="ar-SA"/>
    </w:rPr>
  </w:style>
  <w:style w:type="paragraph" w:customStyle="1" w:styleId="56">
    <w:name w:val="正文2"/>
    <w:basedOn w:val="1"/>
    <w:autoRedefine/>
    <w:qFormat/>
    <w:uiPriority w:val="0"/>
    <w:pPr>
      <w:spacing w:before="156" w:line="360" w:lineRule="auto"/>
      <w:ind w:firstLine="510" w:firstLineChars="200"/>
    </w:pPr>
    <w:rPr>
      <w:rFonts w:eastAsia="宋体"/>
      <w:kern w:val="2"/>
      <w:lang w:eastAsia="zh-CN"/>
    </w:rPr>
  </w:style>
  <w:style w:type="paragraph" w:customStyle="1" w:styleId="57">
    <w:name w:val="_Style 45"/>
    <w:basedOn w:val="1"/>
    <w:next w:val="1"/>
    <w:qFormat/>
    <w:uiPriority w:val="0"/>
    <w:pPr>
      <w:pBdr>
        <w:bottom w:val="single" w:color="auto" w:sz="6" w:space="1"/>
      </w:pBdr>
      <w:jc w:val="center"/>
    </w:pPr>
    <w:rPr>
      <w:rFonts w:ascii="Arial" w:eastAsia="宋体"/>
      <w:vanish/>
      <w:sz w:val="16"/>
    </w:rPr>
  </w:style>
  <w:style w:type="paragraph" w:customStyle="1" w:styleId="58">
    <w:name w:val="_Style 46"/>
    <w:basedOn w:val="1"/>
    <w:next w:val="1"/>
    <w:qFormat/>
    <w:uiPriority w:val="0"/>
    <w:pPr>
      <w:pBdr>
        <w:top w:val="single" w:color="auto" w:sz="6" w:space="1"/>
      </w:pBdr>
      <w:jc w:val="center"/>
    </w:pPr>
    <w:rPr>
      <w:rFonts w:ascii="Arial" w:eastAsia="宋体"/>
      <w:vanish/>
      <w:sz w:val="16"/>
    </w:rPr>
  </w:style>
  <w:style w:type="paragraph" w:customStyle="1" w:styleId="59">
    <w:name w:val="GW-正文"/>
    <w:basedOn w:val="1"/>
    <w:qFormat/>
    <w:uiPriority w:val="0"/>
    <w:pPr>
      <w:spacing w:line="360" w:lineRule="auto"/>
      <w:ind w:firstLine="200" w:firstLineChars="200"/>
      <w:contextualSpacing/>
    </w:pPr>
    <w:rPr>
      <w:rFonts w:eastAsia="Times New Roman"/>
    </w:rPr>
  </w:style>
  <w:style w:type="paragraph" w:customStyle="1" w:styleId="60">
    <w:name w:val="02标题二"/>
    <w:basedOn w:val="1"/>
    <w:qFormat/>
    <w:uiPriority w:val="0"/>
    <w:pPr>
      <w:ind w:firstLine="562" w:firstLineChars="200"/>
      <w:jc w:val="both"/>
    </w:pPr>
    <w:rPr>
      <w:rFonts w:cs="华文仿宋"/>
      <w:b/>
      <w:bCs/>
      <w:sz w:val="28"/>
      <w:szCs w:val="28"/>
    </w:rPr>
  </w:style>
  <w:style w:type="paragraph" w:customStyle="1" w:styleId="61">
    <w:name w:val="表格文字"/>
    <w:basedOn w:val="1"/>
    <w:next w:val="8"/>
    <w:qFormat/>
    <w:uiPriority w:val="0"/>
    <w:pPr>
      <w:jc w:val="center"/>
    </w:pPr>
    <w:rPr>
      <w:szCs w:val="20"/>
    </w:rPr>
  </w:style>
  <w:style w:type="paragraph" w:customStyle="1" w:styleId="62">
    <w:name w:val="D&amp;L"/>
    <w:basedOn w:val="14"/>
    <w:qFormat/>
    <w:uiPriority w:val="0"/>
    <w:pPr>
      <w:pBdr>
        <w:bottom w:val="thinThickSmallGap" w:color="auto" w:sz="18" w:space="1"/>
      </w:pBdr>
      <w:adjustRightInd w:val="0"/>
      <w:snapToGrid/>
      <w:spacing w:line="240" w:lineRule="atLeast"/>
      <w:textAlignment w:val="baseline"/>
    </w:pPr>
    <w:rPr>
      <w:sz w:val="24"/>
      <w:szCs w:val="20"/>
    </w:rPr>
  </w:style>
  <w:style w:type="paragraph" w:customStyle="1" w:styleId="63">
    <w:name w:val="标题 2_0"/>
    <w:basedOn w:val="47"/>
    <w:next w:val="64"/>
    <w:qFormat/>
    <w:uiPriority w:val="0"/>
    <w:pPr>
      <w:keepNext/>
      <w:keepLines/>
      <w:spacing w:before="260" w:after="260" w:line="500" w:lineRule="exact"/>
      <w:jc w:val="center"/>
      <w:outlineLvl w:val="1"/>
    </w:pPr>
    <w:rPr>
      <w:rFonts w:ascii="黑体" w:hAnsi="宋体" w:eastAsia="黑体"/>
      <w:b/>
      <w:smallCaps/>
      <w:snapToGrid w:val="0"/>
      <w:kern w:val="0"/>
      <w:sz w:val="36"/>
    </w:rPr>
  </w:style>
  <w:style w:type="paragraph" w:customStyle="1" w:styleId="64">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65">
    <w:name w:val="页码1"/>
    <w:basedOn w:val="26"/>
    <w:qFormat/>
    <w:uiPriority w:val="0"/>
    <w:rPr>
      <w:rFonts w:ascii="Arial" w:hAnsi="Arial" w:eastAsia="黑体" w:cs="Arial"/>
      <w:snapToGrid w:val="0"/>
      <w:kern w:val="0"/>
      <w:szCs w:val="21"/>
    </w:rPr>
  </w:style>
  <w:style w:type="character" w:customStyle="1" w:styleId="66">
    <w:name w:val="spancontent1"/>
    <w:basedOn w:val="26"/>
    <w:qFormat/>
    <w:uiPriority w:val="0"/>
    <w:rPr>
      <w:sz w:val="18"/>
      <w:szCs w:val="18"/>
    </w:rPr>
  </w:style>
  <w:style w:type="character" w:customStyle="1" w:styleId="67">
    <w:name w:val="NormalCharacter"/>
    <w:qFormat/>
    <w:uiPriority w:val="0"/>
  </w:style>
  <w:style w:type="paragraph" w:customStyle="1" w:styleId="68">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9">
    <w:name w:val="列出段落1"/>
    <w:basedOn w:val="1"/>
    <w:qFormat/>
    <w:uiPriority w:val="0"/>
    <w:pPr>
      <w:ind w:firstLine="420" w:firstLineChars="200"/>
    </w:pPr>
    <w:rPr>
      <w:szCs w:val="21"/>
    </w:rPr>
  </w:style>
  <w:style w:type="paragraph" w:customStyle="1" w:styleId="70">
    <w:name w:val="索引 12"/>
    <w:basedOn w:val="1"/>
    <w:next w:val="1"/>
    <w:qFormat/>
    <w:uiPriority w:val="0"/>
    <w:pPr>
      <w:jc w:val="center"/>
    </w:pPr>
    <w:rPr>
      <w:rFonts w:ascii="Arial" w:hAnsi="Arial" w:eastAsia="Arial" w:cs="Arial"/>
      <w:b/>
      <w:bCs/>
      <w:sz w:val="28"/>
    </w:rPr>
  </w:style>
  <w:style w:type="table" w:customStyle="1" w:styleId="71">
    <w:name w:val="Table Normal"/>
    <w:semiHidden/>
    <w:unhideWhenUsed/>
    <w:qFormat/>
    <w:uiPriority w:val="0"/>
    <w:tblPr>
      <w:tblCellMar>
        <w:top w:w="0" w:type="dxa"/>
        <w:left w:w="0" w:type="dxa"/>
        <w:bottom w:w="0" w:type="dxa"/>
        <w:right w:w="0" w:type="dxa"/>
      </w:tblCellMar>
    </w:tblPr>
  </w:style>
  <w:style w:type="paragraph" w:customStyle="1" w:styleId="72">
    <w:name w:val="Char Char Char Char Char Char Char1 Char"/>
    <w:basedOn w:val="1"/>
    <w:qFormat/>
    <w:uiPriority w:val="0"/>
    <w:rPr>
      <w:rFonts w:ascii="Arial" w:hAnsi="Arial" w:eastAsia="宋体" w:cs="Arial"/>
    </w:rPr>
  </w:style>
  <w:style w:type="paragraph" w:customStyle="1" w:styleId="73">
    <w:name w:val="Table Text"/>
    <w:basedOn w:val="1"/>
    <w:semiHidden/>
    <w:qFormat/>
    <w:uiPriority w:val="0"/>
    <w:rPr>
      <w:rFonts w:ascii="Arial" w:hAnsi="Arial" w:eastAsia="Arial" w:cs="Arial"/>
      <w:sz w:val="21"/>
      <w:szCs w:val="21"/>
    </w:rPr>
  </w:style>
  <w:style w:type="paragraph" w:customStyle="1" w:styleId="74">
    <w:name w:val="正文 New"/>
    <w:next w:val="1"/>
    <w:qFormat/>
    <w:uiPriority w:val="0"/>
    <w:pPr>
      <w:framePr w:hSpace="180" w:wrap="around" w:vAnchor="text" w:hAnchor="text" w:y="1"/>
      <w:widowControl w:val="0"/>
      <w:spacing w:line="440" w:lineRule="exact"/>
    </w:pPr>
    <w:rPr>
      <w:rFonts w:ascii="Times New Roman" w:hAnsi="Times New Roman" w:eastAsia="宋体" w:cs="Times New Roman"/>
      <w:kern w:val="2"/>
      <w:sz w:val="21"/>
      <w:szCs w:val="22"/>
      <w:lang w:val="en-US" w:eastAsia="zh-CN" w:bidi="ar-SA"/>
    </w:rPr>
  </w:style>
  <w:style w:type="character" w:customStyle="1" w:styleId="75">
    <w:name w:val="_Style 7"/>
    <w:qFormat/>
    <w:uiPriority w:val="31"/>
    <w:rPr>
      <w:smallCaps/>
      <w:color w:val="5A5A5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48</Pages>
  <Words>11312</Words>
  <Characters>11994</Characters>
  <Lines>1318</Lines>
  <Paragraphs>1427</Paragraphs>
  <TotalTime>1</TotalTime>
  <ScaleCrop>false</ScaleCrop>
  <LinksUpToDate>false</LinksUpToDate>
  <CharactersWithSpaces>12113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2023-10-02T15:51:00Z</dcterms:created>
  <dc:creator>尹皓</dc:creator>
  <cp:lastModifiedBy>Coco</cp:lastModifiedBy>
  <cp:lastPrinted>2026-05-02T07:33:00Z</cp:lastPrinted>
  <dcterms:modified xsi:type="dcterms:W3CDTF">2026-08-27T09:18:16Z</dcterms:modified>
  <dc:title>ZJ</dc:title>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2023-09-08T00:00:00Z</vt:filetime>
  </property>
  <property fmtid="{D5CDD505-2E9C-101B-9397-08002B2CF9AE}" pid="3" name="LastSaved">
    <vt:filetime>2023-09-24T00:00:00Z</vt:filetime>
  </property>
  <property fmtid="{D5CDD505-2E9C-101B-9397-08002B2CF9AE}" pid="4" name="KSOProductBuildVer">
    <vt:lpwstr>2052-12.1.0.16120</vt:lpwstr>
  </property>
  <property fmtid="{D5CDD505-2E9C-101B-9397-08002B2CF9AE}" pid="5" name="ICV">
    <vt:lpwstr>E937668A753549019DA8262E37AB4BC3_13</vt:lpwstr>
  </property>
  <property fmtid="{D5CDD505-2E9C-101B-9397-08002B2CF9AE}" pid="6" name="KSOTemplateDocerSaveRecord">
    <vt:lpwstr>eyJoZGlkIjoiZTlkZTNiMGU5OGViZGRkNDBmNGU1YzZiYjBhMzc5NTUiLCJ1c2VySWQiOiIxNzUyMzQzMDk0In0=</vt:lpwstr>
  </property>
</Properties>
</file>